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7C" w:rsidRDefault="00FD767C">
      <w:pPr>
        <w:spacing w:line="600" w:lineRule="exact"/>
        <w:rPr>
          <w:rFonts w:ascii="方正小标宋简体" w:eastAsia="方正小标宋简体"/>
          <w:sz w:val="44"/>
          <w:szCs w:val="44"/>
        </w:rPr>
      </w:pPr>
    </w:p>
    <w:p w:rsidR="00FD767C" w:rsidRPr="00C50D7E" w:rsidRDefault="00C50D7E">
      <w:pPr>
        <w:spacing w:line="600" w:lineRule="exact"/>
        <w:jc w:val="center"/>
        <w:rPr>
          <w:rFonts w:ascii="方正小标宋简体" w:eastAsia="方正小标宋简体" w:hAnsi="方正小标宋简体"/>
          <w:sz w:val="44"/>
          <w:szCs w:val="44"/>
        </w:rPr>
      </w:pPr>
      <w:r w:rsidRPr="00C50D7E">
        <w:rPr>
          <w:rFonts w:ascii="微软雅黑" w:eastAsia="微软雅黑" w:hAnsi="微软雅黑" w:cs="微软雅黑" w:hint="eastAsia"/>
          <w:sz w:val="44"/>
          <w:szCs w:val="44"/>
        </w:rPr>
        <w:t>天津市医保定点医药机构协议</w:t>
      </w:r>
    </w:p>
    <w:p w:rsidR="00FD767C" w:rsidRPr="00C50D7E" w:rsidRDefault="00C50D7E">
      <w:pPr>
        <w:spacing w:line="600" w:lineRule="exact"/>
        <w:jc w:val="center"/>
        <w:rPr>
          <w:rFonts w:ascii="方正小标宋简体" w:eastAsia="方正小标宋简体" w:hAnsi="方正小标宋简体"/>
          <w:sz w:val="44"/>
          <w:szCs w:val="44"/>
        </w:rPr>
      </w:pPr>
      <w:r w:rsidRPr="00C50D7E">
        <w:rPr>
          <w:rFonts w:ascii="微软雅黑" w:eastAsia="微软雅黑" w:hAnsi="微软雅黑" w:cs="微软雅黑" w:hint="eastAsia"/>
          <w:sz w:val="44"/>
          <w:szCs w:val="44"/>
        </w:rPr>
        <w:t>考核办法</w:t>
      </w:r>
      <w:r w:rsidRPr="00C50D7E">
        <w:rPr>
          <w:rFonts w:ascii="Malgun Gothic Semilight" w:eastAsia="Malgun Gothic Semilight" w:hAnsi="Malgun Gothic Semilight" w:cs="Malgun Gothic Semilight" w:hint="eastAsia"/>
          <w:sz w:val="44"/>
          <w:szCs w:val="44"/>
        </w:rPr>
        <w:t>（</w:t>
      </w:r>
      <w:r w:rsidRPr="00C50D7E">
        <w:rPr>
          <w:rFonts w:ascii="微软雅黑" w:eastAsia="微软雅黑" w:hAnsi="微软雅黑" w:cs="微软雅黑" w:hint="eastAsia"/>
          <w:sz w:val="44"/>
          <w:szCs w:val="44"/>
        </w:rPr>
        <w:t>试行</w:t>
      </w:r>
      <w:r w:rsidRPr="00C50D7E">
        <w:rPr>
          <w:rFonts w:ascii="Malgun Gothic Semilight" w:eastAsia="Malgun Gothic Semilight" w:hAnsi="Malgun Gothic Semilight" w:cs="Malgun Gothic Semilight" w:hint="eastAsia"/>
          <w:sz w:val="44"/>
          <w:szCs w:val="44"/>
        </w:rPr>
        <w:t>）</w:t>
      </w:r>
    </w:p>
    <w:p w:rsidR="00FD767C" w:rsidRDefault="00C50D7E">
      <w:pPr>
        <w:spacing w:line="600" w:lineRule="exact"/>
        <w:jc w:val="center"/>
        <w:rPr>
          <w:rFonts w:ascii="楷体_GB2312" w:eastAsia="楷体_GB2312"/>
          <w:sz w:val="32"/>
          <w:szCs w:val="32"/>
        </w:rPr>
      </w:pPr>
      <w:r>
        <w:rPr>
          <w:rFonts w:ascii="楷体_GB2312" w:eastAsia="楷体_GB2312" w:hint="eastAsia"/>
          <w:sz w:val="32"/>
          <w:szCs w:val="32"/>
        </w:rPr>
        <w:t>（征求意见稿）</w:t>
      </w:r>
      <w:bookmarkStart w:id="0" w:name="_GoBack"/>
      <w:bookmarkEnd w:id="0"/>
    </w:p>
    <w:p w:rsidR="00FD767C" w:rsidRDefault="00FD767C">
      <w:pPr>
        <w:spacing w:line="600" w:lineRule="exact"/>
        <w:rPr>
          <w:rFonts w:ascii="方正小标宋简体" w:eastAsia="方正小标宋简体"/>
          <w:sz w:val="44"/>
          <w:szCs w:val="44"/>
        </w:rPr>
      </w:pP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为规范本市医疗保障定点医药机构医保服务行为，督促定点医药机构严格履行医保协议，为参保人员提供优质高效的医保服务，根据《医疗机构医疗保障定点管理暂行办法》（国家医疗保障局令第</w:t>
      </w:r>
      <w:r>
        <w:rPr>
          <w:rFonts w:ascii="Times New Roman" w:eastAsia="仿宋_GB2312" w:hAnsi="Times New Roman" w:cs="Times New Roman"/>
          <w:sz w:val="32"/>
          <w:szCs w:val="32"/>
        </w:rPr>
        <w:t xml:space="preserve"> 2 </w:t>
      </w:r>
      <w:r>
        <w:rPr>
          <w:rFonts w:ascii="Times New Roman" w:eastAsia="仿宋_GB2312" w:hAnsi="Times New Roman" w:cs="Times New Roman"/>
          <w:sz w:val="32"/>
          <w:szCs w:val="32"/>
        </w:rPr>
        <w:t>号）、《零售药店医疗保障定点管理暂行办法》（国家医疗保障局令第</w:t>
      </w:r>
      <w:r>
        <w:rPr>
          <w:rFonts w:ascii="Times New Roman" w:eastAsia="仿宋_GB2312" w:hAnsi="Times New Roman" w:cs="Times New Roman"/>
          <w:sz w:val="32"/>
          <w:szCs w:val="32"/>
        </w:rPr>
        <w:t xml:space="preserve"> 3 </w:t>
      </w:r>
      <w:r>
        <w:rPr>
          <w:rFonts w:ascii="Times New Roman" w:eastAsia="仿宋_GB2312" w:hAnsi="Times New Roman" w:cs="Times New Roman"/>
          <w:sz w:val="32"/>
          <w:szCs w:val="32"/>
        </w:rPr>
        <w:t>号）、《天津市医疗机构医疗保障定点管理办法》（津医保规字〔</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号）和《天津市零售药店医疗保障定点管理办法》（津医保规字〔</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号）等文件规定，制定本办法。</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本办法适用于本市医保经办机构对定点医药机构履行医保协议的情况进行</w:t>
      </w:r>
      <w:r>
        <w:rPr>
          <w:rFonts w:ascii="Times New Roman" w:eastAsia="仿宋_GB2312" w:hAnsi="Times New Roman" w:cs="Times New Roman" w:hint="eastAsia"/>
          <w:sz w:val="32"/>
          <w:szCs w:val="32"/>
        </w:rPr>
        <w:t>协议</w:t>
      </w:r>
      <w:r>
        <w:rPr>
          <w:rFonts w:ascii="Times New Roman" w:eastAsia="仿宋_GB2312" w:hAnsi="Times New Roman" w:cs="Times New Roman"/>
          <w:sz w:val="32"/>
          <w:szCs w:val="32"/>
        </w:rPr>
        <w:t>考核。</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市医保行政</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负责对</w:t>
      </w:r>
      <w:r>
        <w:rPr>
          <w:rFonts w:ascii="Times New Roman" w:eastAsia="仿宋_GB2312" w:hAnsi="Times New Roman" w:cs="Times New Roman" w:hint="eastAsia"/>
          <w:sz w:val="32"/>
          <w:szCs w:val="32"/>
        </w:rPr>
        <w:t>医保</w:t>
      </w:r>
      <w:r>
        <w:rPr>
          <w:rFonts w:ascii="Times New Roman" w:eastAsia="仿宋_GB2312" w:hAnsi="Times New Roman" w:cs="Times New Roman"/>
          <w:sz w:val="32"/>
          <w:szCs w:val="32"/>
        </w:rPr>
        <w:t>经办机构开展</w:t>
      </w:r>
      <w:r>
        <w:rPr>
          <w:rFonts w:ascii="Times New Roman" w:eastAsia="仿宋_GB2312" w:hAnsi="Times New Roman" w:cs="Times New Roman" w:hint="eastAsia"/>
          <w:sz w:val="32"/>
          <w:szCs w:val="32"/>
        </w:rPr>
        <w:t>协议</w:t>
      </w:r>
      <w:r>
        <w:rPr>
          <w:rFonts w:ascii="Times New Roman" w:eastAsia="仿宋_GB2312" w:hAnsi="Times New Roman" w:cs="Times New Roman"/>
          <w:sz w:val="32"/>
          <w:szCs w:val="32"/>
        </w:rPr>
        <w:t>考核进行指导和监督；各区医保局负责对辖区</w:t>
      </w:r>
      <w:r>
        <w:rPr>
          <w:rFonts w:ascii="Times New Roman" w:eastAsia="仿宋_GB2312" w:hAnsi="Times New Roman" w:cs="Times New Roman" w:hint="eastAsia"/>
          <w:sz w:val="32"/>
          <w:szCs w:val="32"/>
        </w:rPr>
        <w:t>医保</w:t>
      </w:r>
      <w:r>
        <w:rPr>
          <w:rFonts w:ascii="Times New Roman" w:eastAsia="仿宋_GB2312" w:hAnsi="Times New Roman" w:cs="Times New Roman"/>
          <w:sz w:val="32"/>
          <w:szCs w:val="32"/>
        </w:rPr>
        <w:t>经办机构开展</w:t>
      </w:r>
      <w:r>
        <w:rPr>
          <w:rFonts w:ascii="Times New Roman" w:eastAsia="仿宋_GB2312" w:hAnsi="Times New Roman" w:cs="Times New Roman" w:hint="eastAsia"/>
          <w:sz w:val="32"/>
          <w:szCs w:val="32"/>
        </w:rPr>
        <w:t>协议</w:t>
      </w:r>
      <w:r>
        <w:rPr>
          <w:rFonts w:ascii="Times New Roman" w:eastAsia="仿宋_GB2312" w:hAnsi="Times New Roman" w:cs="Times New Roman"/>
          <w:sz w:val="32"/>
          <w:szCs w:val="32"/>
        </w:rPr>
        <w:t>考核具体工作进行监督，并协调区属各</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予以支持</w:t>
      </w:r>
      <w:r>
        <w:rPr>
          <w:rFonts w:ascii="Times New Roman" w:eastAsia="仿宋_GB2312" w:hAnsi="Times New Roman" w:cs="Times New Roman" w:hint="eastAsia"/>
          <w:sz w:val="32"/>
          <w:szCs w:val="32"/>
        </w:rPr>
        <w:t>协助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医保</w:t>
      </w:r>
      <w:r>
        <w:rPr>
          <w:rFonts w:ascii="Times New Roman" w:eastAsia="仿宋_GB2312" w:hAnsi="Times New Roman" w:cs="Times New Roman"/>
          <w:sz w:val="32"/>
          <w:szCs w:val="32"/>
        </w:rPr>
        <w:t>经办机构制发协议年度协议考核方案及细则，并负责具体实施工作。</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协议考核遵循标准公开、过程公平、结果公正、直接利害关系人回避的原则。</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第五条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医保</w:t>
      </w:r>
      <w:r>
        <w:rPr>
          <w:rFonts w:ascii="Times New Roman" w:eastAsia="仿宋_GB2312" w:hAnsi="Times New Roman" w:cs="Times New Roman"/>
          <w:sz w:val="32"/>
          <w:szCs w:val="32"/>
        </w:rPr>
        <w:t>经办机构组织或其委托符合规定的第三方机构，对定点医药机构开展协议考核。考核结果与年终清算、质量保证金退还、协议续签等挂钩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协议考核原则上按</w:t>
      </w:r>
      <w:r>
        <w:rPr>
          <w:rFonts w:ascii="Times New Roman" w:eastAsia="仿宋_GB2312" w:hAnsi="Times New Roman" w:cs="Times New Roman"/>
          <w:sz w:val="32"/>
          <w:szCs w:val="32"/>
        </w:rPr>
        <w:t>协议</w:t>
      </w:r>
      <w:r>
        <w:rPr>
          <w:rFonts w:ascii="Times New Roman" w:eastAsia="仿宋_GB2312" w:hAnsi="Times New Roman" w:cs="Times New Roman" w:hint="eastAsia"/>
          <w:sz w:val="32"/>
          <w:szCs w:val="32"/>
        </w:rPr>
        <w:t>年度开展；医保政策明确规定需按月开展考核的工作</w:t>
      </w:r>
      <w:r>
        <w:rPr>
          <w:rFonts w:ascii="Times New Roman" w:eastAsia="仿宋_GB2312" w:hAnsi="Times New Roman" w:cs="Times New Roman"/>
          <w:sz w:val="32"/>
          <w:szCs w:val="32"/>
        </w:rPr>
        <w:t>事项</w:t>
      </w:r>
      <w:r>
        <w:rPr>
          <w:rFonts w:ascii="Times New Roman" w:eastAsia="仿宋_GB2312" w:hAnsi="Times New Roman" w:cs="Times New Roman" w:hint="eastAsia"/>
          <w:sz w:val="32"/>
          <w:szCs w:val="32"/>
        </w:rPr>
        <w:t>从其规定。</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协议考核方案应当明确考核对象、内容、方式、时限、成绩告知及申诉等内容，并向定点医药机构进行告知。</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协议考核的对象为与本市医保经办机构签订医保协议的定点医药机构。</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考核内容包括定点医药机构在协议年度内执行医保协议的情况。定点医药机构既往协议年度发生的违法违规违约行为，在当前协议年度受到处理的，纳入当前协议年度协议考核。</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协议考核细则应当明确考核指标</w:t>
      </w:r>
      <w:r>
        <w:rPr>
          <w:rFonts w:ascii="Times New Roman" w:eastAsia="仿宋_GB2312" w:hAnsi="Times New Roman" w:cs="Times New Roman" w:hint="eastAsia"/>
          <w:sz w:val="32"/>
          <w:szCs w:val="32"/>
        </w:rPr>
        <w:t>及权重</w:t>
      </w:r>
      <w:r>
        <w:rPr>
          <w:rFonts w:ascii="Times New Roman" w:eastAsia="仿宋_GB2312" w:hAnsi="Times New Roman" w:cs="Times New Roman"/>
          <w:sz w:val="32"/>
          <w:szCs w:val="32"/>
        </w:rPr>
        <w:t>、评分标准等内容，并向定点医药机构进行告知。</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协议考核</w:t>
      </w:r>
      <w:r>
        <w:rPr>
          <w:rFonts w:ascii="Times New Roman" w:eastAsia="仿宋_GB2312" w:hAnsi="Times New Roman" w:cs="Times New Roman" w:hint="eastAsia"/>
          <w:sz w:val="32"/>
          <w:szCs w:val="32"/>
        </w:rPr>
        <w:t>细则</w:t>
      </w:r>
      <w:r>
        <w:rPr>
          <w:rFonts w:ascii="Times New Roman" w:eastAsia="仿宋_GB2312" w:hAnsi="Times New Roman" w:cs="Times New Roman"/>
          <w:sz w:val="32"/>
          <w:szCs w:val="32"/>
        </w:rPr>
        <w:t>按照</w:t>
      </w:r>
      <w:r>
        <w:rPr>
          <w:rFonts w:ascii="Times New Roman" w:eastAsia="仿宋_GB2312" w:hAnsi="Times New Roman" w:cs="Times New Roman" w:hint="eastAsia"/>
          <w:sz w:val="32"/>
          <w:szCs w:val="32"/>
        </w:rPr>
        <w:t>医保协议约定</w:t>
      </w:r>
      <w:r>
        <w:rPr>
          <w:rFonts w:ascii="Times New Roman" w:eastAsia="仿宋_GB2312" w:hAnsi="Times New Roman" w:cs="Times New Roman"/>
          <w:sz w:val="32"/>
          <w:szCs w:val="32"/>
        </w:rPr>
        <w:t>，设定</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动态调整协议年度</w:t>
      </w:r>
      <w:r>
        <w:rPr>
          <w:rFonts w:ascii="Times New Roman" w:eastAsia="仿宋_GB2312" w:hAnsi="Times New Roman" w:cs="Times New Roman" w:hint="eastAsia"/>
          <w:sz w:val="32"/>
          <w:szCs w:val="32"/>
        </w:rPr>
        <w:t>协议</w:t>
      </w:r>
      <w:r>
        <w:rPr>
          <w:rFonts w:ascii="Times New Roman" w:eastAsia="仿宋_GB2312" w:hAnsi="Times New Roman" w:cs="Times New Roman"/>
          <w:sz w:val="32"/>
          <w:szCs w:val="32"/>
        </w:rPr>
        <w:t>考核指标项目。</w:t>
      </w:r>
      <w:r>
        <w:rPr>
          <w:rFonts w:ascii="Times New Roman" w:eastAsia="仿宋_GB2312" w:hAnsi="Times New Roman" w:cs="Times New Roman" w:hint="eastAsia"/>
          <w:sz w:val="32"/>
          <w:szCs w:val="32"/>
        </w:rPr>
        <w:t>各项具体考核指标的成绩，由业务主管单位或部门依职责提供。</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十</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ab/>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协议考核</w:t>
      </w:r>
      <w:r>
        <w:rPr>
          <w:rFonts w:ascii="Times New Roman" w:eastAsia="仿宋_GB2312" w:hAnsi="Times New Roman" w:cs="Times New Roman" w:hint="eastAsia"/>
          <w:sz w:val="32"/>
          <w:szCs w:val="32"/>
        </w:rPr>
        <w:t>分为联网医疗费考核和实地考核等部分，具体以医保协议约定为准。</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协议考核成绩为百分制，满分</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分，医保经办机构按照</w:t>
      </w:r>
      <w:r>
        <w:rPr>
          <w:rFonts w:ascii="Times New Roman" w:eastAsia="仿宋_GB2312" w:hAnsi="Times New Roman" w:cs="Times New Roman"/>
          <w:sz w:val="32"/>
          <w:szCs w:val="32"/>
        </w:rPr>
        <w:t>考核指标</w:t>
      </w:r>
      <w:r>
        <w:rPr>
          <w:rFonts w:ascii="Times New Roman" w:eastAsia="仿宋_GB2312" w:hAnsi="Times New Roman" w:cs="Times New Roman" w:hint="eastAsia"/>
          <w:sz w:val="32"/>
          <w:szCs w:val="32"/>
        </w:rPr>
        <w:t>及权重</w:t>
      </w:r>
      <w:r>
        <w:rPr>
          <w:rFonts w:ascii="Times New Roman" w:eastAsia="仿宋_GB2312" w:hAnsi="Times New Roman" w:cs="Times New Roman"/>
          <w:sz w:val="32"/>
          <w:szCs w:val="32"/>
        </w:rPr>
        <w:t>、评分标准等</w:t>
      </w:r>
      <w:r>
        <w:rPr>
          <w:rFonts w:ascii="Times New Roman" w:eastAsia="仿宋_GB2312" w:hAnsi="Times New Roman" w:cs="Times New Roman" w:hint="eastAsia"/>
          <w:sz w:val="32"/>
          <w:szCs w:val="32"/>
        </w:rPr>
        <w:t>对定点医药机构履行医保协议情况进行打分，并按照医保协议约定兑现质量保证金。医保协议对协议考核成绩及兑现质量保证金另有约定的，以医保协议约定为准。</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协议考核采取联网医疗费</w:t>
      </w:r>
      <w:r>
        <w:rPr>
          <w:rFonts w:ascii="Times New Roman" w:eastAsia="仿宋_GB2312" w:hAnsi="Times New Roman" w:cs="Times New Roman" w:hint="eastAsia"/>
          <w:sz w:val="32"/>
          <w:szCs w:val="32"/>
        </w:rPr>
        <w:t>考核、</w:t>
      </w:r>
      <w:r>
        <w:rPr>
          <w:rFonts w:ascii="Times New Roman" w:eastAsia="仿宋_GB2312" w:hAnsi="Times New Roman" w:cs="Times New Roman" w:hint="eastAsia"/>
          <w:sz w:val="32"/>
          <w:szCs w:val="32"/>
        </w:rPr>
        <w:t>数据分析、日常检查、专项检查</w:t>
      </w:r>
      <w:r>
        <w:rPr>
          <w:rFonts w:ascii="Times New Roman" w:eastAsia="仿宋_GB2312" w:hAnsi="Times New Roman" w:cs="Times New Roman" w:hint="eastAsia"/>
          <w:sz w:val="32"/>
          <w:szCs w:val="32"/>
        </w:rPr>
        <w:t>、相关部门提供材料或结果</w:t>
      </w:r>
      <w:r>
        <w:rPr>
          <w:rFonts w:ascii="Times New Roman" w:eastAsia="仿宋_GB2312" w:hAnsi="Times New Roman" w:cs="Times New Roman" w:hint="eastAsia"/>
          <w:sz w:val="32"/>
          <w:szCs w:val="32"/>
        </w:rPr>
        <w:t>等多种方式相结合的形式开展，</w:t>
      </w:r>
      <w:r>
        <w:rPr>
          <w:rFonts w:ascii="Times New Roman" w:eastAsia="仿宋_GB2312" w:hAnsi="Times New Roman" w:cs="Times New Roman"/>
          <w:sz w:val="32"/>
          <w:szCs w:val="32"/>
        </w:rPr>
        <w:t>结果</w:t>
      </w:r>
      <w:r>
        <w:rPr>
          <w:rFonts w:ascii="Times New Roman" w:eastAsia="仿宋_GB2312" w:hAnsi="Times New Roman" w:cs="Times New Roman" w:hint="eastAsia"/>
          <w:sz w:val="32"/>
          <w:szCs w:val="32"/>
        </w:rPr>
        <w:t>均纳入协议考核。</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定点医药机构连续</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个协议年度协议考核成绩低于</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分的，不再签订下一年度医保协议。</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年度协议考核工作完成后，医保经办机构及时将协议考核成绩告知定点医药机构。定点医药机构如对成绩有异议，按照考核方案规定执行。</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医保经办机构可将定点医药机构协议考核成绩在一定范围内公示、公告或通报。</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十五</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定点医药机构涉嫌存在重大违法违规情形，在开展协议考核期间正在接受相关单位</w:t>
      </w:r>
      <w:r>
        <w:rPr>
          <w:rFonts w:ascii="Times New Roman" w:eastAsia="仿宋_GB2312" w:hAnsi="Times New Roman" w:cs="Times New Roman"/>
          <w:sz w:val="32"/>
          <w:szCs w:val="32"/>
        </w:rPr>
        <w:t>或</w:t>
      </w:r>
      <w:r>
        <w:rPr>
          <w:rFonts w:ascii="Times New Roman" w:eastAsia="仿宋_GB2312" w:hAnsi="Times New Roman" w:cs="Times New Roman" w:hint="eastAsia"/>
          <w:sz w:val="32"/>
          <w:szCs w:val="32"/>
        </w:rPr>
        <w:t>部门调查的，暂不予计算考核成</w:t>
      </w:r>
      <w:r>
        <w:rPr>
          <w:rFonts w:ascii="Times New Roman" w:eastAsia="仿宋_GB2312" w:hAnsi="Times New Roman" w:cs="Times New Roman" w:hint="eastAsia"/>
          <w:sz w:val="32"/>
          <w:szCs w:val="32"/>
        </w:rPr>
        <w:t>绩，待结案后依据其提供的调查结论，对照年度协议考核方案计算协议考核成绩并兑现质量保证金。</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定点医药机构应积极配合协议考核工作，主动提供有关资料。</w:t>
      </w:r>
      <w:r>
        <w:rPr>
          <w:rFonts w:ascii="Times New Roman" w:eastAsia="仿宋_GB2312" w:hAnsi="Times New Roman" w:cs="Times New Roman" w:hint="eastAsia"/>
          <w:sz w:val="32"/>
          <w:szCs w:val="32"/>
        </w:rPr>
        <w:t>定点医药机构</w:t>
      </w:r>
      <w:r>
        <w:rPr>
          <w:rFonts w:ascii="Times New Roman" w:eastAsia="仿宋_GB2312" w:hAnsi="Times New Roman" w:cs="Times New Roman"/>
          <w:sz w:val="32"/>
          <w:szCs w:val="32"/>
        </w:rPr>
        <w:t>未按规定的时限和要求提供</w:t>
      </w:r>
      <w:r>
        <w:rPr>
          <w:rFonts w:ascii="Times New Roman" w:eastAsia="仿宋_GB2312" w:hAnsi="Times New Roman" w:cs="Times New Roman" w:hint="eastAsia"/>
          <w:sz w:val="32"/>
          <w:szCs w:val="32"/>
        </w:rPr>
        <w:t>协议</w:t>
      </w:r>
      <w:r>
        <w:rPr>
          <w:rFonts w:ascii="Times New Roman" w:eastAsia="仿宋_GB2312" w:hAnsi="Times New Roman" w:cs="Times New Roman"/>
          <w:sz w:val="32"/>
          <w:szCs w:val="32"/>
        </w:rPr>
        <w:t>考核所需资料，</w:t>
      </w:r>
      <w:r>
        <w:rPr>
          <w:rFonts w:ascii="Times New Roman" w:eastAsia="仿宋_GB2312" w:hAnsi="Times New Roman" w:cs="Times New Roman" w:hint="eastAsia"/>
          <w:sz w:val="32"/>
          <w:szCs w:val="32"/>
        </w:rPr>
        <w:t>或发生</w:t>
      </w:r>
      <w:r>
        <w:rPr>
          <w:rFonts w:ascii="Times New Roman" w:eastAsia="仿宋_GB2312" w:hAnsi="Times New Roman" w:cs="Times New Roman"/>
          <w:sz w:val="32"/>
          <w:szCs w:val="32"/>
        </w:rPr>
        <w:t>隐匿、转移、伪造相关资料</w:t>
      </w:r>
      <w:r>
        <w:rPr>
          <w:rFonts w:ascii="Times New Roman" w:eastAsia="仿宋_GB2312" w:hAnsi="Times New Roman" w:cs="Times New Roman" w:hint="eastAsia"/>
          <w:sz w:val="32"/>
          <w:szCs w:val="32"/>
        </w:rPr>
        <w:t>等情况</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由医保经办机构按照考核方案规定和医保协议约定进行处理</w:t>
      </w:r>
      <w:r>
        <w:rPr>
          <w:rFonts w:ascii="Times New Roman" w:eastAsia="仿宋_GB2312" w:hAnsi="Times New Roman" w:cs="Times New Roman"/>
          <w:sz w:val="32"/>
          <w:szCs w:val="32"/>
        </w:rPr>
        <w:t>。</w:t>
      </w:r>
    </w:p>
    <w:p w:rsidR="00FD767C" w:rsidRDefault="00C50D7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本办法自印发之日起执行，有效期</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w:t>
      </w:r>
    </w:p>
    <w:p w:rsidR="00FD767C" w:rsidRDefault="00FD767C">
      <w:pPr>
        <w:ind w:firstLineChars="200" w:firstLine="640"/>
        <w:rPr>
          <w:rFonts w:ascii="Times New Roman" w:eastAsia="仿宋_GB2312" w:hAnsi="Times New Roman" w:cs="Times New Roman"/>
          <w:sz w:val="32"/>
          <w:szCs w:val="32"/>
        </w:rPr>
      </w:pPr>
    </w:p>
    <w:sectPr w:rsidR="00FD76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0D7E">
      <w:r>
        <w:separator/>
      </w:r>
    </w:p>
  </w:endnote>
  <w:endnote w:type="continuationSeparator" w:id="0">
    <w:p w:rsidR="00000000" w:rsidRDefault="00C5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algun Gothic Semilight"/>
    <w:charset w:val="86"/>
    <w:family w:val="script"/>
    <w:pitch w:val="default"/>
    <w:sig w:usb0="00000000"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20004"/>
      <w:docPartObj>
        <w:docPartGallery w:val="AutoText"/>
      </w:docPartObj>
    </w:sdtPr>
    <w:sdtEndPr/>
    <w:sdtContent>
      <w:p w:rsidR="00FD767C" w:rsidRDefault="00C50D7E">
        <w:pPr>
          <w:pStyle w:val="a5"/>
          <w:jc w:val="center"/>
        </w:pPr>
        <w:r>
          <w:fldChar w:fldCharType="begin"/>
        </w:r>
        <w:r>
          <w:instrText xml:space="preserve"> PAGE   \* MERGEFORMAT </w:instrText>
        </w:r>
        <w:r>
          <w:fldChar w:fldCharType="separate"/>
        </w:r>
        <w:r w:rsidRPr="00C50D7E">
          <w:rPr>
            <w:noProof/>
            <w:lang w:val="zh-CN"/>
          </w:rPr>
          <w:t>1</w:t>
        </w:r>
        <w:r>
          <w:rPr>
            <w:lang w:val="zh-CN"/>
          </w:rPr>
          <w:fldChar w:fldCharType="end"/>
        </w:r>
      </w:p>
    </w:sdtContent>
  </w:sdt>
  <w:p w:rsidR="00FD767C" w:rsidRDefault="00FD76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0D7E">
      <w:r>
        <w:separator/>
      </w:r>
    </w:p>
  </w:footnote>
  <w:footnote w:type="continuationSeparator" w:id="0">
    <w:p w:rsidR="00000000" w:rsidRDefault="00C50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1F96"/>
    <w:rsid w:val="FC5D58B8"/>
    <w:rsid w:val="000036C2"/>
    <w:rsid w:val="000160BC"/>
    <w:rsid w:val="00016B52"/>
    <w:rsid w:val="00023A61"/>
    <w:rsid w:val="000D4E14"/>
    <w:rsid w:val="0012119E"/>
    <w:rsid w:val="0014515A"/>
    <w:rsid w:val="0017102F"/>
    <w:rsid w:val="001A2D23"/>
    <w:rsid w:val="001A71E0"/>
    <w:rsid w:val="001F1D58"/>
    <w:rsid w:val="001F1F96"/>
    <w:rsid w:val="0020292F"/>
    <w:rsid w:val="002303F5"/>
    <w:rsid w:val="002F70A1"/>
    <w:rsid w:val="00320BAF"/>
    <w:rsid w:val="003A6004"/>
    <w:rsid w:val="003A70A6"/>
    <w:rsid w:val="003C6A86"/>
    <w:rsid w:val="003C7F9E"/>
    <w:rsid w:val="003D563B"/>
    <w:rsid w:val="003E2A66"/>
    <w:rsid w:val="00414847"/>
    <w:rsid w:val="004450A4"/>
    <w:rsid w:val="0049443C"/>
    <w:rsid w:val="004A34EE"/>
    <w:rsid w:val="004C19D4"/>
    <w:rsid w:val="004D44E3"/>
    <w:rsid w:val="004D6DCF"/>
    <w:rsid w:val="00505206"/>
    <w:rsid w:val="00533413"/>
    <w:rsid w:val="00546633"/>
    <w:rsid w:val="00584F6B"/>
    <w:rsid w:val="00585CC3"/>
    <w:rsid w:val="005C2F2E"/>
    <w:rsid w:val="005D6A5D"/>
    <w:rsid w:val="006E60E0"/>
    <w:rsid w:val="007039B0"/>
    <w:rsid w:val="007054DB"/>
    <w:rsid w:val="00723D0E"/>
    <w:rsid w:val="007440DD"/>
    <w:rsid w:val="00754EF4"/>
    <w:rsid w:val="007C2819"/>
    <w:rsid w:val="007E351A"/>
    <w:rsid w:val="00851CED"/>
    <w:rsid w:val="00905F00"/>
    <w:rsid w:val="00925512"/>
    <w:rsid w:val="009519DC"/>
    <w:rsid w:val="00960A5B"/>
    <w:rsid w:val="00A24F28"/>
    <w:rsid w:val="00AC14D8"/>
    <w:rsid w:val="00AC6642"/>
    <w:rsid w:val="00B50A30"/>
    <w:rsid w:val="00B579C8"/>
    <w:rsid w:val="00B81224"/>
    <w:rsid w:val="00B91A9A"/>
    <w:rsid w:val="00BA3397"/>
    <w:rsid w:val="00BB30C0"/>
    <w:rsid w:val="00C27A0A"/>
    <w:rsid w:val="00C36662"/>
    <w:rsid w:val="00C50D7E"/>
    <w:rsid w:val="00C76437"/>
    <w:rsid w:val="00C8260B"/>
    <w:rsid w:val="00CA1C29"/>
    <w:rsid w:val="00CB793E"/>
    <w:rsid w:val="00CD1FE8"/>
    <w:rsid w:val="00CF6E9B"/>
    <w:rsid w:val="00D028D6"/>
    <w:rsid w:val="00D0416D"/>
    <w:rsid w:val="00D501FA"/>
    <w:rsid w:val="00D94C6F"/>
    <w:rsid w:val="00E0498C"/>
    <w:rsid w:val="00E07C99"/>
    <w:rsid w:val="00E24880"/>
    <w:rsid w:val="00E4279D"/>
    <w:rsid w:val="00E43F17"/>
    <w:rsid w:val="00E45AD1"/>
    <w:rsid w:val="00E643EC"/>
    <w:rsid w:val="00E64792"/>
    <w:rsid w:val="00E83502"/>
    <w:rsid w:val="00EA4428"/>
    <w:rsid w:val="00F3063E"/>
    <w:rsid w:val="00F31E28"/>
    <w:rsid w:val="00F419B6"/>
    <w:rsid w:val="00F61E26"/>
    <w:rsid w:val="00F7175D"/>
    <w:rsid w:val="00FC50B2"/>
    <w:rsid w:val="00FD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9395"/>
  <w15:docId w15:val="{441A7F08-4456-42AC-BF32-94D5D9FF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仿宋_GB2312" w:eastAsia="仿宋_GB2312" w:hAnsi="仿宋_GB2312" w:cs="仿宋_GB2312"/>
      <w:kern w:val="0"/>
      <w:sz w:val="32"/>
      <w:szCs w:val="32"/>
      <w:lang w:val="zh-CN" w:bidi="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uiPriority w:val="1"/>
    <w:qFormat/>
    <w:rPr>
      <w:rFonts w:ascii="仿宋_GB2312" w:eastAsia="仿宋_GB2312" w:hAnsi="仿宋_GB2312" w:cs="仿宋_GB2312"/>
      <w:kern w:val="0"/>
      <w:sz w:val="32"/>
      <w:szCs w:val="32"/>
      <w:lang w:val="zh-CN" w:bidi="zh-CN"/>
    </w:rPr>
  </w:style>
  <w:style w:type="paragraph" w:styleId="a9">
    <w:name w:val="Balloon Text"/>
    <w:basedOn w:val="a"/>
    <w:link w:val="aa"/>
    <w:uiPriority w:val="99"/>
    <w:semiHidden/>
    <w:unhideWhenUsed/>
    <w:rsid w:val="00C50D7E"/>
    <w:rPr>
      <w:sz w:val="18"/>
      <w:szCs w:val="18"/>
    </w:rPr>
  </w:style>
  <w:style w:type="character" w:customStyle="1" w:styleId="aa">
    <w:name w:val="批注框文本 字符"/>
    <w:basedOn w:val="a0"/>
    <w:link w:val="a9"/>
    <w:uiPriority w:val="99"/>
    <w:semiHidden/>
    <w:rsid w:val="00C50D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医保中心协议管理处</dc:creator>
  <cp:lastModifiedBy>Tech-Winning</cp:lastModifiedBy>
  <cp:revision>54</cp:revision>
  <cp:lastPrinted>2022-10-20T16:07:00Z</cp:lastPrinted>
  <dcterms:created xsi:type="dcterms:W3CDTF">2022-10-14T17:00:00Z</dcterms:created>
  <dcterms:modified xsi:type="dcterms:W3CDTF">2022-12-13T04:00:00Z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