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560" w:lineRule="exact"/>
        <w:ind w:firstLine="0" w:firstLineChars="0"/>
        <w:jc w:val="center"/>
        <w:rPr>
          <w:rFonts w:hint="eastAsia" w:ascii="方正黑体_GBK" w:hAnsi="黑体" w:eastAsia="方正黑体_GBK" w:cs="Times New Roman"/>
          <w:b w:val="0"/>
          <w:bCs/>
          <w:sz w:val="32"/>
          <w:szCs w:val="32"/>
        </w:rPr>
      </w:pPr>
      <w:bookmarkStart w:id="0" w:name="_Toc7895"/>
      <w:r>
        <w:rPr>
          <w:rFonts w:hint="eastAsia" w:ascii="方正黑体_GBK" w:hAnsi="黑体" w:eastAsia="方正黑体_GBK" w:cs="Times New Roman"/>
          <w:b w:val="0"/>
          <w:bCs/>
          <w:sz w:val="32"/>
          <w:szCs w:val="32"/>
          <w:lang w:eastAsia="zh-CN"/>
        </w:rPr>
        <w:t>蝉蜕</w:t>
      </w:r>
      <w:r>
        <w:rPr>
          <w:rFonts w:hint="eastAsia" w:ascii="方正黑体_GBK" w:hAnsi="黑体" w:eastAsia="方正黑体_GBK" w:cs="Times New Roman"/>
          <w:b w:val="0"/>
          <w:bCs/>
          <w:sz w:val="32"/>
          <w:szCs w:val="32"/>
        </w:rPr>
        <w:t>配方颗粒</w:t>
      </w:r>
      <w:bookmarkEnd w:id="0"/>
    </w:p>
    <w:p>
      <w:pPr>
        <w:adjustRightInd/>
        <w:snapToGrid/>
        <w:spacing w:line="560" w:lineRule="exact"/>
        <w:ind w:firstLine="0" w:firstLineChars="0"/>
        <w:jc w:val="center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hint="eastAsia" w:ascii="Times New Roman" w:hAnsi="Times New Roman" w:eastAsia="Arial Unicode MS" w:cs="Times New Roman"/>
          <w:sz w:val="24"/>
          <w:szCs w:val="24"/>
          <w:lang w:val="en-US" w:eastAsia="zh-CN"/>
        </w:rPr>
        <w:t>Chantui</w:t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 Peifangkeli</w:t>
      </w:r>
    </w:p>
    <w:p>
      <w:pPr>
        <w:ind w:firstLine="0" w:firstLineChars="0"/>
        <w:jc w:val="center"/>
        <w:rPr>
          <w:rFonts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【来源】</w:t>
      </w:r>
      <w:r>
        <w:rPr>
          <w:rFonts w:hint="eastAsia" w:cs="Times New Roman"/>
          <w:b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sz w:val="24"/>
          <w:szCs w:val="24"/>
        </w:rPr>
        <w:t>本品为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蝉科昆虫黑蚱</w:t>
      </w:r>
      <w:r>
        <w:rPr>
          <w:rFonts w:ascii="Times New Roman" w:hAnsi="Times New Roman" w:eastAsia="方正仿宋_GBK" w:cs="Times New Roman"/>
          <w:i/>
          <w:iCs/>
          <w:sz w:val="24"/>
          <w:szCs w:val="24"/>
        </w:rPr>
        <w:t>Cryptotympana pustulata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 </w:t>
      </w:r>
      <w:r>
        <w:rPr>
          <w:rFonts w:ascii="Times New Roman" w:hAnsi="Times New Roman" w:eastAsia="方正仿宋_GBK" w:cs="Times New Roman"/>
          <w:iCs/>
          <w:sz w:val="24"/>
          <w:szCs w:val="24"/>
        </w:rPr>
        <w:t>Fabricius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的若虫羽化时脱落的皮壳</w:t>
      </w:r>
      <w:r>
        <w:rPr>
          <w:rFonts w:ascii="Times New Roman" w:hAnsi="Times New Roman" w:eastAsia="方正仿宋_GBK" w:cs="Times New Roman"/>
          <w:sz w:val="24"/>
          <w:szCs w:val="24"/>
        </w:rPr>
        <w:t>经炮制并按标准汤剂的主要质量指标加工制成的配方颗粒。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ascii="Times New Roman" w:hAnsi="Times New Roman" w:eastAsia="方正仿宋_GBK" w:cs="Times New Roman"/>
          <w:iCs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【制法】</w:t>
      </w:r>
      <w:r>
        <w:rPr>
          <w:rFonts w:cs="Times New Roman"/>
          <w:b/>
          <w:sz w:val="21"/>
          <w:szCs w:val="21"/>
          <w:highlight w:val="none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取蝉蜕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eastAsia="zh-CN"/>
        </w:rPr>
        <w:t>饮片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6000g，加水煎煮，滤过，滤液浓缩成清膏</w:t>
      </w:r>
      <w:r>
        <w:rPr>
          <w:rFonts w:ascii="Times New Roman" w:hAnsi="Times New Roman" w:eastAsia="方正仿宋_GBK" w:cs="Times New Roman"/>
          <w:iCs/>
          <w:sz w:val="24"/>
          <w:szCs w:val="24"/>
        </w:rPr>
        <w:t>（干浸膏出膏率为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2</w:t>
      </w:r>
      <w:r>
        <w:rPr>
          <w:rFonts w:ascii="Times New Roman" w:hAnsi="Times New Roman" w:eastAsia="方正仿宋_GBK" w:cs="Times New Roman"/>
          <w:iCs/>
          <w:sz w:val="24"/>
          <w:szCs w:val="24"/>
        </w:rPr>
        <w:t>%～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6</w:t>
      </w:r>
      <w:r>
        <w:rPr>
          <w:rFonts w:ascii="Times New Roman" w:hAnsi="Times New Roman" w:eastAsia="方正仿宋_GBK" w:cs="Times New Roman"/>
          <w:iCs/>
          <w:sz w:val="24"/>
          <w:szCs w:val="24"/>
        </w:rPr>
        <w:t>%）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eastAsia="zh-CN"/>
        </w:rPr>
        <w:t>，加入辅料适量，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</w:rPr>
        <w:t>干燥（或干燥，粉碎），再加入辅料适量，混匀，制粒，制成1000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</w:rPr>
        <w:t>g，即得。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【性状】</w:t>
      </w:r>
      <w:r>
        <w:rPr>
          <w:rFonts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本品为浅灰色至灰褐色的颗粒；气微，味淡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【鉴别】</w:t>
      </w:r>
      <w:r>
        <w:rPr>
          <w:rFonts w:hint="eastAsia" w:cs="Times New Roman"/>
          <w:b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取本品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g，研细，加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盐酸1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0ml，加热回流30分钟，滤过，滤液蒸干，残渣加甲醇1ml使溶解，作为供试品溶液。另取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蝉蜕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对照药材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0.5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g，加水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0ml，煮沸30分钟，滤过，滤液蒸干，残渣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自“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加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盐酸1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0ml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”起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，同法制成对照药材溶液。照薄层色谱法（中国药典20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年版</w:t>
      </w:r>
      <w:r>
        <w:rPr>
          <w:rFonts w:hint="eastAsia" w:eastAsia="方正仿宋_GBK" w:cs="Times New Roman"/>
          <w:i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通则0502）试验，吸取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上述两种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溶液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各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1µl，分别点于同一硅胶G薄层板上，以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正丁醇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冰醋酸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水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（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∶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∶5）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的上层液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为展开剂，展开，取出，晾干，喷以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0.5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%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茚三酮乙醇溶液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在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105℃加热至斑点显色清晰。供试品色谱中，在与对照药材色谱相应的位置上，显相同颜色的斑点。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【特征图谱】</w:t>
      </w: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氨基酸类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 xml:space="preserve"> 照高效液相色谱法（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中国药典2020年版</w:t>
      </w:r>
      <w:r>
        <w:rPr>
          <w:rFonts w:hint="eastAsia" w:eastAsia="方正仿宋_GBK" w:cs="Times New Roman"/>
          <w:i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色谱条件与系统适用性试验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b/>
          <w:color w:val="auto"/>
          <w:sz w:val="21"/>
          <w:szCs w:val="21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同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氨基酸类[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含量测定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]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参照物溶液的制备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b/>
          <w:color w:val="auto"/>
          <w:sz w:val="21"/>
          <w:szCs w:val="21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取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蝉蜕对照药材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0.1g，置于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具塞水解管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中，精密加入6mol/L盐酸溶液10ml，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密塞，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150℃水解3小时，放</w:t>
      </w:r>
      <w:bookmarkStart w:id="1" w:name="_GoBack"/>
      <w:bookmarkEnd w:id="1"/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冷，滤过，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滤液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移至蒸发皿中，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水解管与滤渣再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用水10ml分次洗涤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，滤过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滤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液并入蒸发皿中，蒸干，残渣加0.1mol/L盐酸溶液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使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溶解，转移至25ml量瓶中，加0.1mol/L盐酸溶液至刻度，摇匀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，作为对照药材参照物溶液。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取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氨基酸类[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含量测定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]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项下的对照品溶液，作为对照品参照物溶液。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另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取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苏氨酸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对照品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、酪氨酸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对照品、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缬氨酸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对照品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、L-异亮氨酸对照品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适量，精密称定，加0.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mol/L盐酸溶液制成每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ml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各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含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50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μg的混合溶液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，作为对照品参照物溶液。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供试品溶液的制备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b/>
          <w:color w:val="auto"/>
          <w:sz w:val="21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取氨基酸类[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含量测定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]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项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下供试品溶液，即得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精密量取上述参照物溶液和供试品溶液各5ml，分别置25ml量瓶中，各加0.1mol/L异硫氰酸苯酯（PITC）的乙腈溶液2.5ml，1mol/L三乙胺的乙腈溶液2.5ml，摇匀，室温放置1小时后，加50%乙腈至刻度，摇匀。取10ml，加正己烷10ml，振摇，放置10分钟，取下层溶液，滤过，取续滤液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测定法 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分别精密吸取衍生化后的参照物溶液与供试品溶液各5μl，注入液相色谱仪，测定，即得。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60" w:lineRule="exact"/>
        <w:ind w:firstLine="480" w:firstLineChars="200"/>
        <w:textAlignment w:val="auto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供试品溶液色谱中应呈现8个特征峰，并应与对照药材参照物色谱中的8个特征峰保留时间相对应，且8个峰应分别与相应对照品参照物峰保留时间相对应。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center"/>
        <w:textAlignment w:val="auto"/>
        <w:rPr>
          <w:rFonts w:hint="eastAsia" w:ascii="Times New Roman" w:hAnsi="Times New Roman" w:eastAsia="宋体"/>
          <w:color w:val="FF0000"/>
          <w:sz w:val="24"/>
          <w:szCs w:val="24"/>
          <w:lang w:eastAsia="zh-CN"/>
        </w:rPr>
      </w:pPr>
      <w:r>
        <w:rPr>
          <w:rFonts w:hint="eastAsia" w:ascii="Times New Roman" w:hAnsi="Times New Roman" w:eastAsia="宋体"/>
          <w:color w:val="FF0000"/>
          <w:sz w:val="24"/>
          <w:szCs w:val="24"/>
          <w:lang w:eastAsia="zh-CN"/>
        </w:rPr>
        <w:drawing>
          <wp:inline distT="0" distB="0" distL="114300" distR="114300">
            <wp:extent cx="5400040" cy="2160270"/>
            <wp:effectExtent l="0" t="0" r="10160" b="3810"/>
            <wp:docPr id="11" name="图片 11" descr="氨基酸对照图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氨基酸对照图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2" w:firstLineChars="200"/>
        <w:jc w:val="center"/>
        <w:textAlignment w:val="auto"/>
        <w:rPr>
          <w:rFonts w:hint="eastAsia" w:ascii="Times New Roman" w:hAnsi="Times New Roman" w:eastAsia="方正仿宋_GBK" w:cs="Times New Roman"/>
          <w:b/>
          <w:sz w:val="21"/>
          <w:szCs w:val="21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对照特征图谱</w:t>
      </w:r>
      <w:r>
        <w:rPr>
          <w:rFonts w:hint="eastAsia" w:ascii="Times New Roman" w:hAnsi="Times New Roman" w:eastAsia="方正仿宋_GBK" w:cs="Times New Roman"/>
          <w:b/>
          <w:sz w:val="21"/>
          <w:szCs w:val="21"/>
          <w:lang w:val="en-US" w:eastAsia="zh-CN"/>
        </w:rPr>
        <w:t>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2" w:firstLineChars="200"/>
        <w:jc w:val="center"/>
        <w:textAlignment w:val="auto"/>
        <w:rPr>
          <w:rFonts w:hint="eastAsia" w:ascii="Times New Roman" w:hAnsi="Times New Roman" w:eastAsia="方正仿宋_GBK" w:cs="Times New Roman"/>
          <w:b/>
          <w:sz w:val="21"/>
          <w:szCs w:val="21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峰1：甘氨酸；峰2：苏氨酸；峰3：丙氨酸；峰4：脯氨酸；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2" w:firstLineChars="200"/>
        <w:jc w:val="center"/>
        <w:textAlignment w:val="auto"/>
        <w:rPr>
          <w:rFonts w:ascii="Times New Roman" w:hAnsi="Times New Roman" w:eastAsia="方正仿宋_GBK" w:cs="Times New Roman"/>
          <w:b/>
          <w:sz w:val="21"/>
          <w:szCs w:val="21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峰</w:t>
      </w:r>
      <w:r>
        <w:rPr>
          <w:rFonts w:hint="eastAsia" w:ascii="Times New Roman" w:hAnsi="Times New Roman" w:eastAsia="方正仿宋_GBK" w:cs="Times New Roman"/>
          <w:b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：酪氨酸；峰</w:t>
      </w:r>
      <w:r>
        <w:rPr>
          <w:rFonts w:hint="eastAsia" w:ascii="Times New Roman" w:hAnsi="Times New Roman" w:eastAsia="方正仿宋_GBK" w:cs="Times New Roman"/>
          <w:b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：缬氨酸峰</w:t>
      </w:r>
      <w:r>
        <w:rPr>
          <w:rFonts w:hint="eastAsia" w:ascii="Times New Roman" w:hAnsi="Times New Roman" w:eastAsia="方正仿宋_GBK" w:cs="Times New Roman"/>
          <w:b/>
          <w:sz w:val="21"/>
          <w:szCs w:val="21"/>
          <w:lang w:val="en-US" w:eastAsia="zh-CN"/>
        </w:rPr>
        <w:t>7</w:t>
      </w: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：</w:t>
      </w:r>
      <w:r>
        <w:rPr>
          <w:rFonts w:hint="eastAsia" w:ascii="Times New Roman" w:hAnsi="Times New Roman" w:eastAsia="方正仿宋_GBK" w:cs="Times New Roman"/>
          <w:b/>
          <w:sz w:val="21"/>
          <w:szCs w:val="21"/>
          <w:lang w:eastAsia="zh-CN"/>
        </w:rPr>
        <w:t>L-异亮氨酸</w:t>
      </w: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；峰</w:t>
      </w:r>
      <w:r>
        <w:rPr>
          <w:rFonts w:hint="eastAsia" w:ascii="Times New Roman" w:hAnsi="Times New Roman" w:eastAsia="方正仿宋_GBK" w:cs="Times New Roman"/>
          <w:b/>
          <w:sz w:val="21"/>
          <w:szCs w:val="21"/>
          <w:lang w:val="en-US" w:eastAsia="zh-CN"/>
        </w:rPr>
        <w:t>8</w:t>
      </w: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：苯丙氨酸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2" w:firstLineChars="200"/>
        <w:jc w:val="center"/>
        <w:textAlignment w:val="auto"/>
        <w:rPr>
          <w:rFonts w:hint="default" w:ascii="Times New Roman" w:hAnsi="Times New Roman" w:eastAsia="方正仿宋_GBK" w:cs="Times New Roman"/>
          <w:b/>
          <w:sz w:val="21"/>
          <w:szCs w:val="21"/>
          <w:lang w:eastAsia="zh-CN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  <w:lang w:eastAsia="zh-CN"/>
        </w:rPr>
        <w:t>参考</w:t>
      </w: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色谱柱：</w:t>
      </w:r>
      <w:r>
        <w:rPr>
          <w:rFonts w:hint="eastAsia" w:ascii="Times New Roman" w:hAnsi="Times New Roman" w:eastAsia="方正仿宋_GBK" w:cs="Times New Roman"/>
          <w:b/>
          <w:sz w:val="21"/>
          <w:szCs w:val="21"/>
          <w:lang w:val="en-US" w:eastAsia="zh-CN"/>
        </w:rPr>
        <w:t xml:space="preserve"> 100-5</w:t>
      </w: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 xml:space="preserve"> C18</w:t>
      </w:r>
      <w:r>
        <w:rPr>
          <w:rFonts w:hint="eastAsia" w:ascii="Times New Roman" w:hAnsi="Times New Roman" w:eastAsia="方正仿宋_GBK" w:cs="Times New Roman"/>
          <w:b/>
          <w:sz w:val="21"/>
          <w:szCs w:val="21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b/>
          <w:sz w:val="21"/>
          <w:szCs w:val="21"/>
          <w:lang w:val="en-US" w:eastAsia="zh-CN"/>
        </w:rPr>
        <w:t>4.6mm×250mm，5μm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82" w:firstLineChars="200"/>
        <w:textAlignment w:val="auto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其他</w:t>
      </w:r>
      <w:r>
        <w:rPr>
          <w:rFonts w:hint="eastAsia"/>
          <w:b/>
          <w:b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照高效液相色谱法（中国药典2020年版</w:t>
      </w:r>
      <w:r>
        <w:rPr>
          <w:rFonts w:hint="eastAsia" w:eastAsia="方正仿宋_GBK" w:cs="Times New Roman"/>
          <w:iCs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82" w:firstLineChars="200"/>
        <w:textAlignment w:val="auto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色谱条件与系统适用性试验</w:t>
      </w:r>
      <w:r>
        <w:rPr>
          <w:rFonts w:ascii="Times New Roman" w:hAnsi="Times New Roman"/>
          <w:b/>
          <w:color w:val="auto"/>
          <w:sz w:val="21"/>
          <w:szCs w:val="21"/>
        </w:rPr>
        <w:t xml:space="preserve"> 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同乙酰多巴胺二聚体[含量测定]项。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82" w:firstLineChars="200"/>
        <w:textAlignment w:val="auto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参照物溶液的制备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b/>
          <w:color w:val="auto"/>
          <w:sz w:val="21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取蝉蜕对照药材1g，置于具塞锥形瓶中，加70%甲醇50ml，加热回流30分钟，放冷，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zh-CN" w:eastAsia="zh-CN"/>
        </w:rPr>
        <w:t>离心（转速为每分钟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4000转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zh-CN" w:eastAsia="zh-CN"/>
        </w:rPr>
        <w:t>）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5分钟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zh-CN" w:eastAsia="zh-CN"/>
        </w:rPr>
        <w:t>，取上清液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25ml置蒸发皿中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zh-CN" w:eastAsia="zh-CN"/>
        </w:rPr>
        <w:t>，蒸干，残渣加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70%甲醇使溶解并转移至5ml量瓶中，加70%甲醇至刻度，摇匀，滤过，取续滤液，作为对照药材参照物溶液。另取原儿茶酸对照品、原儿茶醛对照品、乙酰多巴胺二聚体对照品适量，精密称定，加50%甲醇制成每1ml含原儿茶酸20μg、原儿茶醛10μg、乙酰多巴胺二聚体15μg的混合溶液，作为对照品参照物溶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82" w:firstLineChars="200"/>
        <w:textAlignment w:val="auto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供试品溶液的制备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b/>
          <w:color w:val="auto"/>
          <w:sz w:val="21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同乙酰多巴胺二聚体[含量测定]项。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82" w:firstLineChars="200"/>
        <w:textAlignment w:val="auto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测定法</w:t>
      </w:r>
      <w:r>
        <w:rPr>
          <w:rFonts w:ascii="Times New Roman" w:hAnsi="Times New Roman"/>
          <w:b/>
          <w:color w:val="auto"/>
          <w:sz w:val="21"/>
          <w:szCs w:val="21"/>
        </w:rPr>
        <w:t xml:space="preserve"> 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分别精密吸取参照物溶液与供试品溶液各2μl，注入液相色谱仪，测定，即得。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80" w:firstLineChars="200"/>
        <w:textAlignment w:val="auto"/>
        <w:rPr>
          <w:rFonts w:hint="eastAsia"/>
          <w:lang w:eastAsia="zh-CN"/>
        </w:rPr>
      </w:pP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供试品溶液色谱中应呈现6个特征峰，并应与对照药材参照物色谱中的6个特征峰保留时间相对应，其中峰1、峰2、峰3应分别与相应对照品参照物峰保留时间相对应，</w:t>
      </w:r>
      <w:r>
        <w:rPr>
          <w:rFonts w:hint="eastAsia" w:eastAsia="方正仿宋_GBK" w:cs="Times New Roman"/>
          <w:iCs/>
          <w:sz w:val="24"/>
          <w:szCs w:val="24"/>
          <w:lang w:val="en-US" w:eastAsia="zh-CN"/>
        </w:rPr>
        <w:t>以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与乙酰多巴胺二聚体参照物相应的峰为S峰，计算各特征峰与S峰的相对保留时间，其相对保留时间应该在规定值的±10%之内，规定值为：1.09（峰4）、1.20（峰5）、1.29（峰6）。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80" w:firstLineChars="200"/>
        <w:jc w:val="center"/>
        <w:textAlignment w:val="auto"/>
        <w:rPr>
          <w:rFonts w:hint="eastAsia" w:ascii="Times New Roman" w:hAnsi="Times New Roman" w:eastAsia="宋体"/>
          <w:color w:val="FF0000"/>
          <w:sz w:val="24"/>
          <w:szCs w:val="24"/>
          <w:lang w:eastAsia="zh-CN"/>
        </w:rPr>
      </w:pPr>
      <w:r>
        <w:rPr>
          <w:rFonts w:hint="eastAsia" w:ascii="Times New Roman" w:hAnsi="Times New Roman" w:eastAsia="宋体"/>
          <w:color w:val="FF0000"/>
          <w:sz w:val="24"/>
          <w:szCs w:val="24"/>
          <w:lang w:eastAsia="zh-CN"/>
        </w:rPr>
        <w:drawing>
          <wp:inline distT="0" distB="0" distL="114300" distR="114300">
            <wp:extent cx="5400040" cy="2160270"/>
            <wp:effectExtent l="0" t="0" r="10160" b="3810"/>
            <wp:docPr id="12" name="图片 12" descr="对照图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对照图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2" w:firstLineChars="200"/>
        <w:jc w:val="center"/>
        <w:textAlignment w:val="auto"/>
        <w:rPr>
          <w:rFonts w:hint="eastAsia" w:ascii="Times New Roman" w:hAnsi="Times New Roman" w:eastAsia="宋体"/>
          <w:color w:val="FF0000"/>
          <w:sz w:val="24"/>
          <w:szCs w:val="24"/>
          <w:lang w:eastAsia="zh-CN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对照特征图谱</w:t>
      </w:r>
      <w:r>
        <w:rPr>
          <w:rFonts w:hint="eastAsia" w:ascii="Times New Roman" w:hAnsi="Times New Roman" w:eastAsia="方正仿宋_GBK" w:cs="Times New Roman"/>
          <w:b/>
          <w:sz w:val="21"/>
          <w:szCs w:val="21"/>
          <w:lang w:val="en-US" w:eastAsia="zh-CN"/>
        </w:rPr>
        <w:t>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2" w:firstLineChars="200"/>
        <w:jc w:val="center"/>
        <w:textAlignment w:val="auto"/>
        <w:rPr>
          <w:rFonts w:hint="eastAsia" w:ascii="Times New Roman" w:hAnsi="Times New Roman" w:eastAsia="方正仿宋_GBK" w:cs="Times New Roman"/>
          <w:b/>
          <w:sz w:val="21"/>
          <w:szCs w:val="21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峰1：</w:t>
      </w:r>
      <w:r>
        <w:rPr>
          <w:rFonts w:hint="eastAsia" w:ascii="Times New Roman" w:hAnsi="Times New Roman" w:eastAsia="方正仿宋_GBK" w:cs="Times New Roman"/>
          <w:b/>
          <w:sz w:val="21"/>
          <w:szCs w:val="21"/>
          <w:lang w:eastAsia="zh-CN"/>
        </w:rPr>
        <w:t>原儿茶酸</w:t>
      </w: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；峰2：</w:t>
      </w:r>
      <w:r>
        <w:rPr>
          <w:rFonts w:hint="eastAsia" w:ascii="Times New Roman" w:hAnsi="Times New Roman" w:eastAsia="方正仿宋_GBK" w:cs="Times New Roman"/>
          <w:b/>
          <w:sz w:val="21"/>
          <w:szCs w:val="21"/>
          <w:lang w:eastAsia="zh-CN"/>
        </w:rPr>
        <w:t>原儿茶醛</w:t>
      </w: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；峰3（S）：</w:t>
      </w:r>
      <w:r>
        <w:rPr>
          <w:rFonts w:hint="eastAsia" w:ascii="Times New Roman" w:hAnsi="Times New Roman" w:eastAsia="方正仿宋_GBK" w:cs="Times New Roman"/>
          <w:b/>
          <w:sz w:val="21"/>
          <w:szCs w:val="21"/>
          <w:lang w:eastAsia="zh-CN"/>
        </w:rPr>
        <w:t>乙酰多巴胺二聚体</w:t>
      </w: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2" w:firstLineChars="200"/>
        <w:jc w:val="center"/>
        <w:textAlignment w:val="auto"/>
        <w:rPr>
          <w:color w:val="auto"/>
          <w:sz w:val="21"/>
          <w:szCs w:val="21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  <w:lang w:eastAsia="zh-CN"/>
        </w:rPr>
        <w:t>参考</w:t>
      </w: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色谱柱：</w:t>
      </w:r>
      <w:r>
        <w:rPr>
          <w:rFonts w:hint="eastAsia" w:ascii="Times New Roman" w:hAnsi="Times New Roman" w:eastAsia="方正仿宋_GBK" w:cs="Times New Roman"/>
          <w:b/>
          <w:sz w:val="21"/>
          <w:szCs w:val="21"/>
          <w:lang w:val="en-US" w:eastAsia="zh-CN"/>
        </w:rPr>
        <w:t>SB</w:t>
      </w: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 xml:space="preserve"> C18</w:t>
      </w:r>
      <w:r>
        <w:rPr>
          <w:rFonts w:hint="eastAsia" w:ascii="Times New Roman" w:hAnsi="Times New Roman" w:eastAsia="方正仿宋_GBK" w:cs="Times New Roman"/>
          <w:b/>
          <w:sz w:val="21"/>
          <w:szCs w:val="21"/>
          <w:lang w:eastAsia="zh-CN"/>
        </w:rPr>
        <w:t>；</w:t>
      </w:r>
      <w:r>
        <w:rPr>
          <w:rFonts w:hint="eastAsia" w:ascii="Times New Roman" w:hAnsi="Times New Roman" w:eastAsia="方正仿宋_GBK" w:cs="Times New Roman"/>
          <w:b/>
          <w:sz w:val="21"/>
          <w:szCs w:val="21"/>
          <w:lang w:val="en-US" w:eastAsia="zh-CN"/>
        </w:rPr>
        <w:t>2.1mm×150mm，1.8</w:t>
      </w:r>
      <w:r>
        <w:rPr>
          <w:rFonts w:hint="default" w:ascii="Times New Roman" w:hAnsi="Times New Roman" w:eastAsia="方正仿宋_GBK" w:cs="Times New Roman"/>
          <w:b/>
          <w:sz w:val="21"/>
          <w:szCs w:val="21"/>
          <w:lang w:val="en-US" w:eastAsia="zh-CN"/>
        </w:rPr>
        <w:t>μm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【检查】</w:t>
      </w:r>
      <w:r>
        <w:rPr>
          <w:rFonts w:hint="eastAsia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应符合颗粒剂项下有关的各项规定（中国药典2020年版</w:t>
      </w:r>
      <w:r>
        <w:rPr>
          <w:rFonts w:hint="eastAsia" w:eastAsia="方正仿宋_GBK" w:cs="Times New Roman"/>
          <w:iCs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通则0104）。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</w:rPr>
        <w:t xml:space="preserve">【浸出物】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取本品研细，取约2g，精密称定，精密加入乙醇100ml，照醇溶性浸出物测定法（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中国药典2020年版</w:t>
      </w:r>
      <w:r>
        <w:rPr>
          <w:rFonts w:hint="eastAsia" w:eastAsia="方正仿宋_GBK" w:cs="Times New Roman"/>
          <w:i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通则2201）项下的热浸法测定，不得少于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5.0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</w:rPr>
        <w:t>【含量测定】</w:t>
      </w:r>
      <w:r>
        <w:rPr>
          <w:rFonts w:hint="eastAsia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氨基酸类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照高效液相色谱法（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中国药典2020年版</w:t>
      </w:r>
      <w:r>
        <w:rPr>
          <w:rFonts w:hint="eastAsia" w:eastAsia="方正仿宋_GBK" w:cs="Times New Roman"/>
          <w:i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仿宋_GBK" w:hAnsi="方正仿宋_GBK" w:eastAsia="方正仿宋_GBK" w:cs="方正仿宋_GBK"/>
          <w:b/>
          <w:bCs/>
          <w:sz w:val="24"/>
          <w:szCs w:val="24"/>
          <w:u w:val="none"/>
          <w:lang w:val="en-US" w:eastAsia="zh-CN"/>
        </w:rPr>
        <w:t>色谱条件与系统适用性试验</w:t>
      </w:r>
      <w:r>
        <w:rPr>
          <w:rFonts w:hint="eastAsia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sz w:val="21"/>
          <w:szCs w:val="21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以十八烷基硅烷键合硅胶为填充剂（柱长为250mm，内径为4.6mm，粒径为5μm）；以乙腈-水（4∶1）为流动相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，以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0.lmol/L醋酸钠溶液（用醋酸调节pH值至6.5）-乙腈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93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∶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)为流动相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；按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下表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中的规定进行梯度洗脱；流速为每分钟1.0ml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柱温为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30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°C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检测波长为254nm。理论板数按丙氨酸峰计算应不低于4000。</w:t>
      </w:r>
    </w:p>
    <w:tbl>
      <w:tblPr>
        <w:tblStyle w:val="6"/>
        <w:tblW w:w="8517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2841"/>
        <w:gridCol w:w="2841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时间（分钟）</w:t>
            </w:r>
          </w:p>
        </w:tc>
        <w:tc>
          <w:tcPr>
            <w:tcW w:w="284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流动相A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eastAsia="zh-CN"/>
              </w:rPr>
              <w:t>(%)</w:t>
            </w:r>
          </w:p>
        </w:tc>
        <w:tc>
          <w:tcPr>
            <w:tcW w:w="284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流动相B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eastAsia="zh-CN"/>
              </w:rPr>
              <w:t>(%)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0~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841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sym w:font="Symbol" w:char="F0AE"/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841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sym w:font="Symbol" w:char="F0AE"/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~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~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sym w:font="Symbol" w:char="F0AE"/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97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sym w:font="Symbol" w:char="F0AE"/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~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17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sym w:font="Symbol" w:char="F0AE"/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83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sym w:font="Symbol" w:char="F0AE"/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32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~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8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18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sym w:font="Symbol" w:char="F0AE"/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82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sym w:font="Symbol" w:char="F0AE"/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70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38~45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sym w:font="Symbol" w:char="F0AE"/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70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sym w:font="Symbol" w:char="F0AE"/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66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45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~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34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sym w:font="Symbol" w:char="F0AE"/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66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sym w:font="Symbol" w:char="F0AE"/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~55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firstLine="361" w:firstLineChars="200"/>
        <w:textAlignment w:val="auto"/>
        <w:rPr>
          <w:rFonts w:hint="default" w:ascii="Times New Roman" w:hAnsi="Times New Roman" w:cs="Times New Roman"/>
          <w:b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>对照品溶液的制备</w:t>
      </w:r>
      <w:r>
        <w:rPr>
          <w:rFonts w:hint="default" w:ascii="Times New Roman" w:hAnsi="Times New Roman" w:cs="Times New Roman"/>
          <w:b/>
          <w:sz w:val="21"/>
          <w:szCs w:val="21"/>
        </w:rPr>
        <w:t xml:space="preserve"> </w:t>
      </w:r>
      <w:r>
        <w:rPr>
          <w:rFonts w:hint="eastAsia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取甘氨酸对照品、丙氨酸对照品、脯氨酸对照品、苯丙氨酸对照品适量，精密称定，加0.1mol/L盐酸溶液制成每1ml含甘氨酸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60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μg、丙氨酸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0μg、脯氨酸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80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μg、苯丙氨酸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25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μg的混合溶液。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>供试品溶液的制备</w:t>
      </w:r>
      <w:r>
        <w:rPr>
          <w:rFonts w:hint="eastAsia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 xml:space="preserve"> 取本品适量，研细，取约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0.5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g，精密称定，置于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具塞水解管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中，精密加入6mol/L盐酸溶液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15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ml，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密塞，称定重量，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150℃水解3小时，取出，放冷，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zh-CN" w:eastAsia="zh-CN"/>
        </w:rPr>
        <w:t>再称定重量，用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zh-CN" w:eastAsia="zh-CN"/>
        </w:rPr>
        <w:t>mol/L盐酸溶液补足减失重量，混匀，滤过，精密量取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ml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zh-CN" w:eastAsia="zh-CN"/>
        </w:rPr>
        <w:t>滤液移蒸发皿中，蒸干，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残渣加0.1mol/L盐酸溶液溶解，转移至25ml量瓶中，加0.1mol/L盐酸溶液至刻度，摇匀，即得。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精密量取上述对照品溶液和供试品溶液各5m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l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，分别置25ml量瓶中，各加0.1mol/L异硫氰酸苯酯（PITC）的乙腈溶液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2.5ml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、1mol/L三乙胺的乙腈溶液2.5ml，摇匀，室温放置1小时后，加50%乙腈至刻度，摇匀。取10ml，加正己烷10ml，振摇，放置10分钟，取下层溶液，滤过，取续滤液，即得。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测定法 </w:t>
      </w:r>
      <w:r>
        <w:rPr>
          <w:rFonts w:hint="eastAsia" w:cs="Times New Roman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分别精密吸取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衍生化后的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对照品溶液与供试品溶液各5μl，注入液相色谱仪，测定，即得。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本品每1g含甘氨酸（C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H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NO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）应为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2.3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mg~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11.0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mg、丙氨酸（C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H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NO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）应为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1.5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mg~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10.0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mg、脯氨酸（C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H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NO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）应为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3.7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mg~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16.0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mg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苯丙氨酸（C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H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13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NO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）应为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0.8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mg~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5.0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mg。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jc w:val="left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乙酰多巴胺二聚体</w:t>
      </w:r>
      <w:r>
        <w:rPr>
          <w:rFonts w:hint="eastAsia" w:ascii="Times New Roman" w:hAnsi="Times New Roman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照高效液相色谱法（中国药典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2020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年版</w:t>
      </w:r>
      <w:r>
        <w:rPr>
          <w:rFonts w:hint="eastAsia" w:eastAsia="方正仿宋_GBK" w:cs="Times New Roman"/>
          <w:i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60" w:lineRule="exact"/>
        <w:ind w:firstLine="482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色谱条件与系统适用性试验</w:t>
      </w:r>
      <w:r>
        <w:rPr>
          <w:rFonts w:ascii="Times New Roman" w:hAnsi="Times New Roman"/>
          <w:b/>
          <w:color w:val="auto"/>
          <w:sz w:val="21"/>
          <w:szCs w:val="21"/>
        </w:rPr>
        <w:t xml:space="preserve"> 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以十八烷基硅烷键合硅胶为填充剂（柱长为1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50mm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，内径为2.1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mm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，粒径为1.6~1.8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μm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）；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以乙腈为流动相A；以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0.2%甲酸溶液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为流动相B，按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下表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中的规定进行梯度洗脱；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流速为每分钟0.35ml；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柱温为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35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°C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检测波长为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280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nm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理论板数按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乙酰多巴胺二聚体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峰计算应不低于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000。</w:t>
      </w:r>
    </w:p>
    <w:tbl>
      <w:tblPr>
        <w:tblStyle w:val="6"/>
        <w:tblW w:w="4998" w:type="pct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0"/>
        <w:gridCol w:w="3135"/>
        <w:gridCol w:w="3112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时间（分钟）</w:t>
            </w:r>
          </w:p>
        </w:tc>
        <w:tc>
          <w:tcPr>
            <w:tcW w:w="0" w:type="auto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流动相A（%）</w:t>
            </w:r>
          </w:p>
        </w:tc>
        <w:tc>
          <w:tcPr>
            <w:tcW w:w="0" w:type="auto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0" w:type="auto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0~7</w:t>
            </w:r>
          </w:p>
        </w:tc>
        <w:tc>
          <w:tcPr>
            <w:tcW w:w="0" w:type="auto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6→8</w:t>
            </w:r>
          </w:p>
        </w:tc>
        <w:tc>
          <w:tcPr>
            <w:tcW w:w="0" w:type="auto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94→92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7~10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8→11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92→89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10~22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11→15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89→85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22~32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15→23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85→87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32~35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23→90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87→10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35~38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对照品溶液的制备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b/>
          <w:color w:val="auto"/>
          <w:sz w:val="21"/>
          <w:szCs w:val="21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取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乙酰多巴胺二聚体对照品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适量，精密称定，加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甲醇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制成每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ml含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30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μg的溶液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供试品溶液的制备</w:t>
      </w:r>
      <w:r>
        <w:rPr>
          <w:rFonts w:ascii="Times New Roman" w:hAnsi="Times New Roman"/>
          <w:b/>
          <w:color w:val="auto"/>
          <w:sz w:val="21"/>
          <w:szCs w:val="21"/>
        </w:rPr>
        <w:t xml:space="preserve"> 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取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本品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适量，研细，取约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0.5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g，精密称定，置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具塞锥形瓶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中，精密加入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70%甲醇5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0ml，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称定重量，超声处理（功率300W，频率40kHz）30分钟，放冷，再称定重量，用70%甲醇补足减失的重量，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zh-CN" w:eastAsia="zh-CN"/>
        </w:rPr>
        <w:t>离心（转速为每分钟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4000转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zh-CN" w:eastAsia="zh-CN"/>
        </w:rPr>
        <w:t>）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5分钟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zh-CN" w:eastAsia="zh-CN"/>
        </w:rPr>
        <w:t>，取上清液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25ml置蒸发皿中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zh-CN" w:eastAsia="zh-CN"/>
        </w:rPr>
        <w:t>，蒸干，残渣加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70%甲醇使溶解并转移至5ml量瓶中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加70%甲醇至刻度，摇匀，滤过，取续滤液，即得。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测定法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b/>
          <w:color w:val="auto"/>
          <w:sz w:val="21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分别精密吸取对照品溶液与供试品溶液各2μl，注入液相色谱仪，测定，即得。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本品每1g含乙酰多巴胺二聚体（C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H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22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N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O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6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）应为0.55mg~2.80mg。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</w:rPr>
        <w:t>【规格】</w:t>
      </w:r>
      <w:r>
        <w:rPr>
          <w:rFonts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每1g配方颗粒相当于饮片6g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</w:rPr>
        <w:t>【贮藏】</w:t>
      </w:r>
      <w:r>
        <w:rPr>
          <w:rFonts w:hint="eastAsia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密封。</w:t>
      </w:r>
    </w:p>
    <w:sectPr>
      <w:headerReference r:id="rId6" w:type="first"/>
      <w:footerReference r:id="rId8" w:type="first"/>
      <w:headerReference r:id="rId5" w:type="default"/>
      <w:footerReference r:id="rId7" w:type="default"/>
      <w:pgSz w:w="11906" w:h="16838"/>
      <w:pgMar w:top="2098" w:right="1474" w:bottom="1984" w:left="1587" w:header="851" w:footer="992" w:gutter="0"/>
      <w:cols w:space="0" w:num="1"/>
      <w:titlePg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ind w:left="0" w:leftChars="0" w:firstLine="0" w:firstLineChars="0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val="zh-CN"/>
                            </w:rPr>
                            <w:t>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 xml:space="preserve"> 1 -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ind w:left="0" w:leftChars="0" w:firstLine="0" w:firstLineChars="0"/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val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 xml:space="preserve"> 1 -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0" w:leftChars="0" w:firstLine="0" w:firstLineChars="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ind w:left="0" w:leftChars="0" w:firstLine="0" w:firstLineChars="0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val="zh-CN"/>
                            </w:rPr>
                            <w:t>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 xml:space="preserve"> 1 -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ind w:left="0" w:leftChars="0" w:firstLine="0" w:firstLineChars="0"/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val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 xml:space="preserve"> 1 -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PowerPlusWaterMarkObject14076" o:spid="_x0000_s4098" o:spt="136" type="#_x0000_t136" style="position:absolute;left:0pt;height:50.1pt;width:537.15pt;mso-position-horizontal:center;mso-position-horizontal-relative:margin;mso-position-vertical:center;mso-position-vertical-relative:margin;rotation:-2949120f;z-index:-251655168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云南省中药配方颗粒标准公示稿" style="font-family:微软雅黑;font-size:36pt;v-same-letter-heights:f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4097" o:spid="_x0000_s4097" o:spt="136" type="#_x0000_t136" style="position:absolute;left:0pt;height:50.1pt;width:537.15pt;mso-position-horizontal:center;mso-position-horizontal-relative:margin;mso-position-vertical:center;mso-position-vertical-relative:margin;rotation:-2949120f;z-index:-251654144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云南省中药配方颗粒标准公示稿" style="font-family:微软雅黑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lZTMxYjRhMTA0MzYxZTFkZjUzNjJjZWU5YThjMjUifQ=="/>
  </w:docVars>
  <w:rsids>
    <w:rsidRoot w:val="149972E5"/>
    <w:rsid w:val="043565AA"/>
    <w:rsid w:val="0E191923"/>
    <w:rsid w:val="149972E5"/>
    <w:rsid w:val="1B285AE1"/>
    <w:rsid w:val="1C3322ED"/>
    <w:rsid w:val="1FE70AFA"/>
    <w:rsid w:val="1FFA2B39"/>
    <w:rsid w:val="20EB497F"/>
    <w:rsid w:val="274B04FE"/>
    <w:rsid w:val="2C6D5A4A"/>
    <w:rsid w:val="2F391C13"/>
    <w:rsid w:val="33E83C08"/>
    <w:rsid w:val="3A801C14"/>
    <w:rsid w:val="422474A1"/>
    <w:rsid w:val="444D496D"/>
    <w:rsid w:val="45A01D89"/>
    <w:rsid w:val="479B74B7"/>
    <w:rsid w:val="4B421964"/>
    <w:rsid w:val="502A762A"/>
    <w:rsid w:val="506A3ECB"/>
    <w:rsid w:val="53E40FFC"/>
    <w:rsid w:val="59965B68"/>
    <w:rsid w:val="5F5D372D"/>
    <w:rsid w:val="62A3189F"/>
    <w:rsid w:val="66A016B9"/>
    <w:rsid w:val="68DA3707"/>
    <w:rsid w:val="6B3D24B0"/>
    <w:rsid w:val="6BCB6A79"/>
    <w:rsid w:val="6F9B59F7"/>
    <w:rsid w:val="702C1FF2"/>
    <w:rsid w:val="717B117D"/>
    <w:rsid w:val="726960FA"/>
    <w:rsid w:val="747B7BA5"/>
    <w:rsid w:val="75335860"/>
    <w:rsid w:val="7AA72DF6"/>
    <w:rsid w:val="7B835C53"/>
    <w:rsid w:val="7BE2675B"/>
    <w:rsid w:val="7C9A181E"/>
    <w:rsid w:val="7E9645A6"/>
    <w:rsid w:val="7FF6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360" w:lineRule="auto"/>
      <w:ind w:firstLine="480" w:firstLineChars="200"/>
      <w:jc w:val="both"/>
    </w:pPr>
    <w:rPr>
      <w:rFonts w:ascii="Times New Roman" w:hAnsi="Times New Roman" w:eastAsia="宋体" w:cs="黑体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2762</Words>
  <Characters>3500</Characters>
  <Lines>0</Lines>
  <Paragraphs>0</Paragraphs>
  <TotalTime>1</TotalTime>
  <ScaleCrop>false</ScaleCrop>
  <LinksUpToDate>false</LinksUpToDate>
  <CharactersWithSpaces>3563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2022-11-18T02:45:00Z</dcterms:created>
  <dc:creator>峨眉神蛙</dc:creator>
  <cp:lastModifiedBy>峨眉神蛙</cp:lastModifiedBy>
  <dcterms:modified xsi:type="dcterms:W3CDTF">2022-12-02T03:12:22Z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65BF39B17EAF4B499327434A33222509</vt:lpwstr>
  </property>
</Properties>
</file>