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bookmarkStart w:id="0" w:name="_Toc27923"/>
      <w:r>
        <w:rPr>
          <w:rFonts w:hint="eastAsia" w:ascii="方正黑体_GBK" w:hAnsi="黑体" w:eastAsia="方正黑体_GBK" w:cs="Times New Roman"/>
          <w:b w:val="0"/>
          <w:bCs/>
          <w:sz w:val="32"/>
          <w:szCs w:val="32"/>
          <w:lang w:eastAsia="zh-CN"/>
        </w:rPr>
        <w:t>炒柏子仁配方颗粒</w:t>
      </w:r>
      <w:bookmarkEnd w:id="0"/>
    </w:p>
    <w:p>
      <w:pPr>
        <w:adjustRightInd/>
        <w:snapToGrid/>
        <w:spacing w:line="560" w:lineRule="exact"/>
        <w:ind w:firstLine="0" w:firstLineChars="0"/>
        <w:jc w:val="center"/>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Chaobaiziren Peifangkeli</w:t>
      </w:r>
    </w:p>
    <w:p>
      <w:pPr>
        <w:ind w:firstLine="0" w:firstLineChars="0"/>
        <w:jc w:val="center"/>
        <w:rPr>
          <w:rFonts w:cs="Times New Roman"/>
          <w:sz w:val="21"/>
          <w:szCs w:val="21"/>
        </w:rPr>
      </w:pPr>
    </w:p>
    <w:p>
      <w:pPr>
        <w:ind w:firstLine="422"/>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【来源】</w:t>
      </w:r>
      <w:r>
        <w:rPr>
          <w:rFonts w:cs="Times New Roman"/>
          <w:b/>
          <w:sz w:val="21"/>
          <w:szCs w:val="21"/>
        </w:rPr>
        <w:t xml:space="preserve"> </w:t>
      </w:r>
      <w:r>
        <w:rPr>
          <w:rFonts w:ascii="Times New Roman" w:hAnsi="Times New Roman" w:eastAsia="方正仿宋_GBK" w:cs="Times New Roman"/>
          <w:iCs/>
          <w:sz w:val="24"/>
          <w:szCs w:val="24"/>
        </w:rPr>
        <w:t>本品为柏科植物侧柏</w:t>
      </w:r>
      <w:r>
        <w:rPr>
          <w:rFonts w:ascii="Times New Roman" w:hAnsi="Times New Roman" w:eastAsia="方正仿宋_GBK" w:cs="Times New Roman"/>
          <w:i/>
          <w:iCs w:val="0"/>
          <w:sz w:val="24"/>
          <w:szCs w:val="24"/>
        </w:rPr>
        <w:t>Platycladus oriental</w:t>
      </w:r>
      <w:r>
        <w:rPr>
          <w:rFonts w:ascii="Times New Roman" w:hAnsi="Times New Roman" w:eastAsia="方正仿宋_GBK" w:cs="Times New Roman"/>
          <w:i w:val="0"/>
          <w:iCs/>
          <w:sz w:val="24"/>
          <w:szCs w:val="24"/>
        </w:rPr>
        <w:t>is</w:t>
      </w:r>
      <w:r>
        <w:rPr>
          <w:rFonts w:ascii="Times New Roman" w:hAnsi="Times New Roman" w:eastAsia="方正仿宋_GBK" w:cs="Times New Roman"/>
          <w:iCs/>
          <w:sz w:val="24"/>
          <w:szCs w:val="24"/>
        </w:rPr>
        <w:t>（L.）Franco的干燥成熟种仁的经炮制加工并按标准汤剂的主要质量指标加工制成的配方颗粒。</w:t>
      </w:r>
    </w:p>
    <w:p>
      <w:pPr>
        <w:ind w:firstLine="420"/>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【生产用饮片的炮制】</w:t>
      </w:r>
      <w:r>
        <w:rPr>
          <w:rFonts w:hint="eastAsia" w:ascii="Times New Roman" w:hAnsi="Times New Roman" w:eastAsia="方正仿宋_GBK" w:cs="Times New Roman"/>
          <w:iCs/>
          <w:sz w:val="24"/>
          <w:szCs w:val="24"/>
        </w:rPr>
        <w:t xml:space="preserve"> </w:t>
      </w:r>
      <w:r>
        <w:rPr>
          <w:rFonts w:ascii="Times New Roman" w:hAnsi="Times New Roman" w:eastAsia="方正仿宋_GBK" w:cs="Times New Roman"/>
          <w:iCs/>
          <w:sz w:val="24"/>
          <w:szCs w:val="24"/>
        </w:rPr>
        <w:t>应</w:t>
      </w:r>
      <w:r>
        <w:rPr>
          <w:rFonts w:hint="eastAsia" w:ascii="Times New Roman" w:hAnsi="Times New Roman" w:eastAsia="方正仿宋_GBK" w:cs="Times New Roman"/>
          <w:iCs/>
          <w:sz w:val="24"/>
          <w:szCs w:val="24"/>
        </w:rPr>
        <w:t>按照</w:t>
      </w:r>
      <w:r>
        <w:rPr>
          <w:rFonts w:ascii="Times New Roman" w:hAnsi="Times New Roman" w:eastAsia="方正仿宋_GBK" w:cs="Times New Roman"/>
          <w:iCs/>
          <w:sz w:val="24"/>
          <w:szCs w:val="24"/>
        </w:rPr>
        <w:t>《全国中药炮制规范》1988年版“炒柏子仁”项下规定的方法炮制。</w:t>
      </w:r>
    </w:p>
    <w:p>
      <w:pPr>
        <w:adjustRightInd/>
        <w:snapToGrid/>
        <w:ind w:firstLine="420"/>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【制法】 </w:t>
      </w:r>
      <w:r>
        <w:rPr>
          <w:rFonts w:hint="eastAsia" w:ascii="Times New Roman" w:hAnsi="Times New Roman" w:eastAsia="方正仿宋_GBK" w:cs="Times New Roman"/>
          <w:iCs/>
          <w:sz w:val="24"/>
          <w:szCs w:val="24"/>
        </w:rPr>
        <w:t>取炒柏子仁饮片5000g，加水煎煮，滤过，滤液浓缩成清膏（干浸膏出膏率为8%~16%），加入辅料适量，干燥（或干燥，粉碎），再加入辅料适量，混匀，制粒，制成1000g，即得。</w:t>
      </w:r>
    </w:p>
    <w:p>
      <w:pPr>
        <w:ind w:firstLine="420"/>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【性状】</w:t>
      </w:r>
      <w:r>
        <w:rPr>
          <w:rFonts w:cs="Times New Roman"/>
          <w:sz w:val="21"/>
          <w:szCs w:val="21"/>
        </w:rPr>
        <w:t xml:space="preserve"> </w:t>
      </w:r>
      <w:r>
        <w:rPr>
          <w:rFonts w:hint="eastAsia" w:ascii="Times New Roman" w:hAnsi="Times New Roman" w:eastAsia="方正仿宋_GBK" w:cs="Times New Roman"/>
          <w:iCs/>
          <w:sz w:val="24"/>
          <w:szCs w:val="24"/>
        </w:rPr>
        <w:t>本品为浅灰黄色至浅棕色的颗粒，气微，味微甜、微苦。</w:t>
      </w:r>
    </w:p>
    <w:p>
      <w:pPr>
        <w:ind w:firstLine="420"/>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【鉴别】</w:t>
      </w:r>
      <w:r>
        <w:rPr>
          <w:rFonts w:hint="eastAsia" w:ascii="Times New Roman" w:hAnsi="Times New Roman" w:eastAsia="方正仿宋_GBK" w:cs="Times New Roman"/>
          <w:iCs/>
          <w:sz w:val="24"/>
          <w:szCs w:val="24"/>
        </w:rPr>
        <w:t xml:space="preserve"> 取本品0.4g，研细，加乙酸乙酯30ml，超声处理30分钟，滤过，滤液蒸干，残渣加甲醇1ml使溶解，作为供试品溶液。另取柏子仁对照药材0.2g，加乙酸乙酯30ml，同法制成对照药材溶液。照薄层色谱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通则0502）试验，吸取上述两种溶液各5µl，分别点于同一硅胶G薄层板上，以石油醚（60～90℃）-三氯甲烷（0.5</w:t>
      </w:r>
      <w:r>
        <w:rPr>
          <w:rFonts w:hint="default"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rPr>
        <w:t>20）为展开剂，展开，取出，晾干，喷以10%硫酸乙醇溶液，在105℃加热至斑点显色清晰，置紫外光灯（365nm）下检视。供试品色谱中，在与对照药材色谱相应的位置上，显相同颜色的荧光主斑点。</w:t>
      </w:r>
    </w:p>
    <w:p>
      <w:pPr>
        <w:ind w:firstLine="422"/>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【特征图谱】 </w:t>
      </w:r>
      <w:r>
        <w:rPr>
          <w:rFonts w:hint="eastAsia" w:ascii="Times New Roman" w:hAnsi="Times New Roman" w:eastAsia="方正仿宋_GBK" w:cs="Times New Roman"/>
          <w:iCs/>
          <w:sz w:val="24"/>
          <w:szCs w:val="24"/>
        </w:rPr>
        <w:t>照高效液相色谱法（中国药典2020年版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通则0512）测定。</w:t>
      </w:r>
    </w:p>
    <w:p>
      <w:pPr>
        <w:ind w:firstLine="422"/>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色谱条件与系统适用性试验 </w:t>
      </w:r>
      <w:r>
        <w:rPr>
          <w:rFonts w:hint="eastAsia" w:ascii="Times New Roman" w:hAnsi="Times New Roman" w:eastAsia="方正仿宋_GBK" w:cs="Times New Roman"/>
          <w:iCs/>
          <w:sz w:val="24"/>
          <w:szCs w:val="24"/>
        </w:rPr>
        <w:t>以十八烷基硅烷键合硅胶为填充剂（柱长为100mm，内径为2.1mm，粒径为1.6μm），以乙腈为流动相A，0.1%磷酸溶液为流动相B，按下表中的规定进行梯度洗脱；流速为每分钟0.4ml；柱温为30℃；检测波长为210nm。理论板数按色氨酸峰计算应不低于5000。</w:t>
      </w:r>
    </w:p>
    <w:p>
      <w:pPr>
        <w:pStyle w:val="17"/>
        <w:rPr>
          <w:color w:val="auto"/>
          <w:szCs w:val="18"/>
        </w:rPr>
      </w:pPr>
    </w:p>
    <w:tbl>
      <w:tblPr>
        <w:tblStyle w:val="13"/>
        <w:tblW w:w="8528" w:type="dxa"/>
        <w:tblInd w:w="0"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2843"/>
        <w:gridCol w:w="2843"/>
        <w:gridCol w:w="2842"/>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trPr>
        <w:tc>
          <w:tcPr>
            <w:tcW w:w="2843" w:type="dxa"/>
            <w:tcBorders>
              <w:top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w:t>
            </w:r>
            <w:r>
              <w:rPr>
                <w:rFonts w:hint="eastAsia" w:ascii="Times New Roman" w:hAnsi="Times New Roman" w:eastAsia="方正仿宋_GBK" w:cs="Times New Roman"/>
                <w:sz w:val="21"/>
                <w:szCs w:val="21"/>
              </w:rPr>
              <w:t>分钟</w:t>
            </w:r>
            <w:r>
              <w:rPr>
                <w:rFonts w:hint="default" w:ascii="Times New Roman" w:hAnsi="Times New Roman" w:eastAsia="方正仿宋_GBK" w:cs="Times New Roman"/>
                <w:sz w:val="21"/>
                <w:szCs w:val="21"/>
              </w:rPr>
              <w:t>）</w:t>
            </w:r>
          </w:p>
        </w:tc>
        <w:tc>
          <w:tcPr>
            <w:tcW w:w="2843" w:type="dxa"/>
            <w:tcBorders>
              <w:top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2842" w:type="dxa"/>
            <w:tcBorders>
              <w:top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trPr>
        <w:tc>
          <w:tcPr>
            <w:tcW w:w="2843"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0~10</w:t>
            </w:r>
          </w:p>
        </w:tc>
        <w:tc>
          <w:tcPr>
            <w:tcW w:w="2843"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2→10</w:t>
            </w:r>
          </w:p>
        </w:tc>
        <w:tc>
          <w:tcPr>
            <w:tcW w:w="2842"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98→90</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trPr>
        <w:tc>
          <w:tcPr>
            <w:tcW w:w="2843"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10~12</w:t>
            </w:r>
          </w:p>
        </w:tc>
        <w:tc>
          <w:tcPr>
            <w:tcW w:w="2843"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10→20</w:t>
            </w:r>
          </w:p>
        </w:tc>
        <w:tc>
          <w:tcPr>
            <w:tcW w:w="2842"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90→80</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trPr>
        <w:tc>
          <w:tcPr>
            <w:tcW w:w="2843"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12~17</w:t>
            </w:r>
          </w:p>
        </w:tc>
        <w:tc>
          <w:tcPr>
            <w:tcW w:w="2843"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20→80</w:t>
            </w:r>
          </w:p>
        </w:tc>
        <w:tc>
          <w:tcPr>
            <w:tcW w:w="2842"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80→20</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trPr>
        <w:tc>
          <w:tcPr>
            <w:tcW w:w="2843" w:type="dxa"/>
            <w:tcBorders>
              <w:top w:val="nil"/>
              <w:bottom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17~23</w:t>
            </w:r>
          </w:p>
        </w:tc>
        <w:tc>
          <w:tcPr>
            <w:tcW w:w="2843" w:type="dxa"/>
            <w:tcBorders>
              <w:top w:val="nil"/>
              <w:bottom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80</w:t>
            </w:r>
          </w:p>
        </w:tc>
        <w:tc>
          <w:tcPr>
            <w:tcW w:w="2842" w:type="dxa"/>
            <w:tcBorders>
              <w:top w:val="nil"/>
              <w:bottom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20</w:t>
            </w:r>
          </w:p>
        </w:tc>
      </w:tr>
    </w:tbl>
    <w:p>
      <w:pPr>
        <w:keepNext w:val="0"/>
        <w:keepLines w:val="0"/>
        <w:pageBreakBefore w:val="0"/>
        <w:widowControl w:val="0"/>
        <w:kinsoku/>
        <w:wordWrap/>
        <w:overflowPunct/>
        <w:topLinePunct w:val="0"/>
        <w:autoSpaceDE/>
        <w:autoSpaceDN/>
        <w:bidi w:val="0"/>
        <w:adjustRightInd w:val="0"/>
        <w:snapToGrid w:val="0"/>
        <w:spacing w:before="157" w:beforeLines="50"/>
        <w:ind w:firstLine="422"/>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参照物溶液的制备</w:t>
      </w:r>
      <w:r>
        <w:rPr>
          <w:rFonts w:cs="Times New Roman"/>
          <w:b/>
          <w:sz w:val="21"/>
          <w:szCs w:val="21"/>
        </w:rPr>
        <w:t xml:space="preserve"> </w:t>
      </w:r>
      <w:r>
        <w:rPr>
          <w:rFonts w:hint="eastAsia" w:ascii="Times New Roman" w:hAnsi="Times New Roman" w:eastAsia="方正仿宋_GBK" w:cs="Times New Roman"/>
          <w:iCs/>
          <w:sz w:val="24"/>
          <w:szCs w:val="24"/>
        </w:rPr>
        <w:t>取柏子仁对照药材1g，加水25ml，加热回流30分钟，放冷，滤过，滤液蒸干，残渣加70%甲醇10ml，超声处理（功率250W，频率40kHz）30分钟，放冷，摇匀，滤过，取续滤液作为对照药材参照物溶液。另取色氨酸对照品、儿茶素对照品、α-亚麻酸对照品、亚油酸对照品适量，加甲醇制成每1ml分别含色氨酸10μg、儿茶素10μg、α-亚麻酸1μl、亚油酸1μl的混合溶液，作为对照品参照物溶液。</w:t>
      </w:r>
    </w:p>
    <w:p>
      <w:pPr>
        <w:ind w:firstLine="422"/>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供试品溶液的制备</w:t>
      </w:r>
      <w:r>
        <w:rPr>
          <w:rFonts w:cs="Times New Roman"/>
          <w:b/>
          <w:sz w:val="21"/>
          <w:szCs w:val="21"/>
        </w:rPr>
        <w:t xml:space="preserve"> </w:t>
      </w:r>
      <w:r>
        <w:rPr>
          <w:rFonts w:hint="eastAsia" w:ascii="Times New Roman" w:hAnsi="Times New Roman" w:eastAsia="方正仿宋_GBK" w:cs="Times New Roman"/>
          <w:iCs/>
          <w:sz w:val="24"/>
          <w:szCs w:val="24"/>
        </w:rPr>
        <w:t>取本品适量，研细，取0.2g，置具塞锥形瓶中，加70%甲醇10ml，超声处理（功率250W，频率40kHz）30分钟，放冷，摇匀，滤过，取续滤液，即得。</w:t>
      </w:r>
    </w:p>
    <w:p>
      <w:pPr>
        <w:ind w:firstLine="422"/>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测定法</w:t>
      </w:r>
      <w:r>
        <w:rPr>
          <w:rFonts w:cs="Times New Roman"/>
          <w:bCs/>
          <w:sz w:val="21"/>
          <w:szCs w:val="21"/>
        </w:rPr>
        <w:t xml:space="preserve"> </w:t>
      </w:r>
      <w:r>
        <w:rPr>
          <w:rFonts w:hint="eastAsia" w:ascii="Times New Roman" w:hAnsi="Times New Roman" w:eastAsia="方正仿宋_GBK" w:cs="Times New Roman"/>
          <w:iCs/>
          <w:sz w:val="24"/>
          <w:szCs w:val="24"/>
        </w:rPr>
        <w:t>分别精密吸取参照物溶液与供试品溶液各1μl，注入液相色谱仪，测定，即得。</w:t>
      </w:r>
    </w:p>
    <w:p>
      <w:pPr>
        <w:ind w:firstLine="422"/>
        <w:rPr>
          <w:rFonts w:hint="eastAsia" w:ascii="Times New Roman" w:hAnsi="Times New Roman" w:eastAsia="方正仿宋_GBK" w:cs="Times New Roman"/>
          <w:iCs/>
          <w:sz w:val="24"/>
          <w:szCs w:val="24"/>
        </w:rPr>
      </w:pPr>
      <w:r>
        <w:rPr>
          <w:rFonts w:hint="eastAsia" w:ascii="Times New Roman" w:hAnsi="Times New Roman" w:eastAsia="方正仿宋_GBK" w:cs="Times New Roman"/>
          <w:iCs/>
          <w:sz w:val="24"/>
          <w:szCs w:val="24"/>
        </w:rPr>
        <w:t>供试品色谱中应呈现7个特征峰，并应与对照药材参照物色谱中的7个特征峰保留时间相对应，其中峰3、峰4、峰5和峰7应分别与相应对照品参照物峰保留时间相对应。</w:t>
      </w:r>
      <w:r>
        <w:rPr>
          <w:rFonts w:hint="eastAsia" w:eastAsia="方正仿宋_GBK" w:cs="Times New Roman"/>
          <w:iCs/>
          <w:sz w:val="24"/>
          <w:szCs w:val="24"/>
          <w:lang w:val="en-US" w:eastAsia="zh-CN"/>
        </w:rPr>
        <w:t>以</w:t>
      </w:r>
      <w:r>
        <w:rPr>
          <w:rFonts w:hint="eastAsia" w:ascii="Times New Roman" w:hAnsi="Times New Roman" w:eastAsia="方正仿宋_GBK" w:cs="Times New Roman"/>
          <w:iCs/>
          <w:sz w:val="24"/>
          <w:szCs w:val="24"/>
        </w:rPr>
        <w:t>与色氨酸参照物峰相对应的峰为S峰，计算峰1、峰2与S峰的相对保留时间，其相对保留时间应在规定值的±10%范围之内，规定值为0.74（峰1）、0.79（峰2）。</w:t>
      </w:r>
    </w:p>
    <w:p>
      <w:pPr>
        <w:widowControl/>
        <w:spacing w:line="240" w:lineRule="auto"/>
        <w:ind w:firstLine="0" w:firstLineChars="0"/>
        <w:jc w:val="center"/>
        <w:rPr>
          <w:sz w:val="21"/>
          <w:szCs w:val="21"/>
        </w:rPr>
      </w:pPr>
    </w:p>
    <w:p>
      <w:pPr>
        <w:widowControl/>
        <w:spacing w:line="240" w:lineRule="auto"/>
        <w:ind w:firstLine="0" w:firstLineChars="0"/>
        <w:jc w:val="center"/>
      </w:pPr>
      <w:r>
        <w:rPr>
          <w:rFonts w:hint="eastAsia"/>
          <w:sz w:val="21"/>
          <w:szCs w:val="21"/>
        </w:rPr>
        <w:drawing>
          <wp:inline distT="0" distB="0" distL="114300" distR="114300">
            <wp:extent cx="5400040" cy="2339975"/>
            <wp:effectExtent l="0" t="0" r="10160" b="6985"/>
            <wp:docPr id="1" name="图片 2" descr="2"/>
            <wp:cNvGraphicFramePr/>
            <a:graphic xmlns:a="http://schemas.openxmlformats.org/drawingml/2006/main">
              <a:graphicData uri="http://schemas.openxmlformats.org/drawingml/2006/picture">
                <pic:pic xmlns:pic="http://schemas.openxmlformats.org/drawingml/2006/picture">
                  <pic:nvPicPr>
                    <pic:cNvPr id="1" name="图片 2" descr="2"/>
                    <pic:cNvPicPr/>
                  </pic:nvPicPr>
                  <pic:blipFill>
                    <a:blip r:embed="rId12" cstate="print"/>
                    <a:srcRect r="6473"/>
                    <a:stretch>
                      <a:fillRect/>
                    </a:stretch>
                  </pic:blipFill>
                  <pic:spPr>
                    <a:xfrm>
                      <a:off x="0" y="0"/>
                      <a:ext cx="5400040" cy="23399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峰3(S)：色氨酸；；峰4：儿茶素；峰5：α-亚麻酸；峰7：亚油酸</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参考色谱柱：Cortecs T3 C18，2.1mm×100mm，1.6μm</w:t>
      </w:r>
    </w:p>
    <w:p>
      <w:pPr>
        <w:widowControl/>
        <w:spacing w:line="240" w:lineRule="auto"/>
        <w:ind w:firstLine="420"/>
        <w:jc w:val="center"/>
        <w:rPr>
          <w:rFonts w:cs="Times New Roman"/>
          <w:sz w:val="21"/>
          <w:szCs w:val="21"/>
        </w:rPr>
      </w:pPr>
    </w:p>
    <w:p>
      <w:pPr>
        <w:ind w:firstLine="422"/>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【检查】</w:t>
      </w:r>
      <w:r>
        <w:rPr>
          <w:rFonts w:hint="eastAsia" w:ascii="方正仿宋_GBK" w:hAnsi="黑体" w:eastAsia="方正仿宋_GBK" w:cs="Times New Roman"/>
          <w:b/>
          <w:sz w:val="24"/>
          <w:szCs w:val="24"/>
          <w:lang w:val="en-US" w:eastAsia="zh-CN"/>
        </w:rPr>
        <w:t>黄曲霉毒素</w:t>
      </w:r>
      <w:r>
        <w:rPr>
          <w:rFonts w:cs="Times New Roman"/>
          <w:sz w:val="21"/>
          <w:szCs w:val="21"/>
        </w:rPr>
        <w:t xml:space="preserve">  </w:t>
      </w:r>
      <w:r>
        <w:rPr>
          <w:rFonts w:hint="eastAsia" w:ascii="Times New Roman" w:hAnsi="Times New Roman" w:eastAsia="方正仿宋_GBK" w:cs="Times New Roman"/>
          <w:iCs/>
          <w:sz w:val="24"/>
          <w:szCs w:val="24"/>
        </w:rPr>
        <w:t>照黄曲霉毒素测定法（中国药典2020年版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通则2351）测定。</w:t>
      </w:r>
    </w:p>
    <w:p>
      <w:pPr>
        <w:ind w:firstLine="422"/>
        <w:rPr>
          <w:rFonts w:hint="eastAsia" w:ascii="Times New Roman" w:hAnsi="Times New Roman" w:eastAsia="方正仿宋_GBK" w:cs="Times New Roman"/>
          <w:iCs/>
          <w:sz w:val="24"/>
          <w:szCs w:val="24"/>
        </w:rPr>
      </w:pPr>
      <w:r>
        <w:rPr>
          <w:rFonts w:hint="eastAsia" w:ascii="Times New Roman" w:hAnsi="Times New Roman" w:eastAsia="方正仿宋_GBK" w:cs="Times New Roman"/>
          <w:iCs/>
          <w:sz w:val="24"/>
          <w:szCs w:val="24"/>
        </w:rPr>
        <w:t>本品每1000g含黄曲霉毒素B</w:t>
      </w:r>
      <w:r>
        <w:rPr>
          <w:rFonts w:hint="eastAsia" w:ascii="Times New Roman" w:hAnsi="Times New Roman" w:eastAsia="方正仿宋_GBK" w:cs="Times New Roman"/>
          <w:iCs/>
          <w:sz w:val="24"/>
          <w:szCs w:val="24"/>
          <w:vertAlign w:val="subscript"/>
        </w:rPr>
        <w:t>1</w:t>
      </w:r>
      <w:r>
        <w:rPr>
          <w:rFonts w:hint="eastAsia" w:ascii="Times New Roman" w:hAnsi="Times New Roman" w:eastAsia="方正仿宋_GBK" w:cs="Times New Roman"/>
          <w:iCs/>
          <w:sz w:val="24"/>
          <w:szCs w:val="24"/>
        </w:rPr>
        <w:t>不得过5μg，含黄曲霉毒素G</w:t>
      </w:r>
      <w:r>
        <w:rPr>
          <w:rFonts w:hint="eastAsia" w:ascii="Times New Roman" w:hAnsi="Times New Roman" w:eastAsia="方正仿宋_GBK" w:cs="Times New Roman"/>
          <w:iCs/>
          <w:sz w:val="24"/>
          <w:szCs w:val="24"/>
          <w:vertAlign w:val="subscript"/>
        </w:rPr>
        <w:t>2</w:t>
      </w:r>
      <w:r>
        <w:rPr>
          <w:rFonts w:hint="eastAsia" w:ascii="Times New Roman" w:hAnsi="Times New Roman" w:eastAsia="方正仿宋_GBK" w:cs="Times New Roman"/>
          <w:iCs/>
          <w:sz w:val="24"/>
          <w:szCs w:val="24"/>
        </w:rPr>
        <w:t>、黄曲霉毒素G</w:t>
      </w:r>
      <w:r>
        <w:rPr>
          <w:rFonts w:hint="eastAsia" w:ascii="Times New Roman" w:hAnsi="Times New Roman" w:eastAsia="方正仿宋_GBK" w:cs="Times New Roman"/>
          <w:iCs/>
          <w:sz w:val="24"/>
          <w:szCs w:val="24"/>
          <w:vertAlign w:val="subscript"/>
        </w:rPr>
        <w:t>1</w:t>
      </w:r>
      <w:r>
        <w:rPr>
          <w:rFonts w:hint="eastAsia" w:ascii="Times New Roman" w:hAnsi="Times New Roman" w:eastAsia="方正仿宋_GBK" w:cs="Times New Roman"/>
          <w:iCs/>
          <w:sz w:val="24"/>
          <w:szCs w:val="24"/>
        </w:rPr>
        <w:t>、黄曲霉毒素B</w:t>
      </w:r>
      <w:r>
        <w:rPr>
          <w:rFonts w:hint="eastAsia" w:ascii="Times New Roman" w:hAnsi="Times New Roman" w:eastAsia="方正仿宋_GBK" w:cs="Times New Roman"/>
          <w:iCs/>
          <w:sz w:val="24"/>
          <w:szCs w:val="24"/>
          <w:vertAlign w:val="subscript"/>
        </w:rPr>
        <w:t>2</w:t>
      </w:r>
      <w:r>
        <w:rPr>
          <w:rFonts w:hint="eastAsia" w:ascii="Times New Roman" w:hAnsi="Times New Roman" w:eastAsia="方正仿宋_GBK" w:cs="Times New Roman"/>
          <w:iCs/>
          <w:sz w:val="24"/>
          <w:szCs w:val="24"/>
        </w:rPr>
        <w:t>和黄曲霉毒素B</w:t>
      </w:r>
      <w:r>
        <w:rPr>
          <w:rFonts w:hint="eastAsia" w:ascii="Times New Roman" w:hAnsi="Times New Roman" w:eastAsia="方正仿宋_GBK" w:cs="Times New Roman"/>
          <w:iCs/>
          <w:sz w:val="24"/>
          <w:szCs w:val="24"/>
          <w:vertAlign w:val="subscript"/>
        </w:rPr>
        <w:t>1</w:t>
      </w:r>
      <w:r>
        <w:rPr>
          <w:rFonts w:hint="eastAsia" w:ascii="Times New Roman" w:hAnsi="Times New Roman" w:eastAsia="方正仿宋_GBK" w:cs="Times New Roman"/>
          <w:iCs/>
          <w:sz w:val="24"/>
          <w:szCs w:val="24"/>
        </w:rPr>
        <w:t>的总量不得过10μg。</w:t>
      </w:r>
    </w:p>
    <w:p>
      <w:pPr>
        <w:ind w:firstLine="422"/>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溶化性 </w:t>
      </w:r>
      <w:r>
        <w:rPr>
          <w:rFonts w:hint="eastAsia" w:ascii="Times New Roman" w:hAnsi="Times New Roman" w:eastAsia="方正仿宋_GBK" w:cs="Times New Roman"/>
          <w:iCs/>
          <w:sz w:val="24"/>
          <w:szCs w:val="24"/>
        </w:rPr>
        <w:t>照颗粒剂溶化性检查方法（中国药典2020年版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通则0104）检查，加热水200ml，加热煮沸15分钟，立即观察，轻捏即散，或轻微浑浊，不得有焦屑。</w:t>
      </w:r>
    </w:p>
    <w:p>
      <w:pPr>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其他</w:t>
      </w:r>
      <w:r>
        <w:rPr>
          <w:rFonts w:cs="Times New Roman"/>
          <w:bCs/>
          <w:sz w:val="21"/>
          <w:szCs w:val="21"/>
        </w:rPr>
        <w:t xml:space="preserve"> </w:t>
      </w:r>
      <w:r>
        <w:rPr>
          <w:rFonts w:hint="eastAsia" w:ascii="Times New Roman" w:hAnsi="Times New Roman" w:eastAsia="方正仿宋_GBK" w:cs="Times New Roman"/>
          <w:iCs/>
          <w:sz w:val="24"/>
          <w:szCs w:val="24"/>
        </w:rPr>
        <w:t>应符合颗粒剂项下有关的</w:t>
      </w:r>
      <w:bookmarkStart w:id="1" w:name="_GoBack"/>
      <w:bookmarkEnd w:id="1"/>
      <w:r>
        <w:rPr>
          <w:rFonts w:hint="eastAsia" w:ascii="Times New Roman" w:hAnsi="Times New Roman" w:eastAsia="方正仿宋_GBK" w:cs="Times New Roman"/>
          <w:iCs/>
          <w:sz w:val="24"/>
          <w:szCs w:val="24"/>
        </w:rPr>
        <w:t>各项规定（中国药典2020年版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通则0104）。</w:t>
      </w:r>
    </w:p>
    <w:p>
      <w:pPr>
        <w:ind w:firstLine="422"/>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【浸出物】 </w:t>
      </w:r>
      <w:r>
        <w:rPr>
          <w:rFonts w:hint="eastAsia" w:ascii="Times New Roman" w:hAnsi="Times New Roman" w:eastAsia="方正仿宋_GBK" w:cs="Times New Roman"/>
          <w:iCs/>
          <w:sz w:val="24"/>
          <w:szCs w:val="24"/>
        </w:rPr>
        <w:t>取本品适量，研细，取约2g，精密称定，精密加入乙醇100ml，照醇溶性浸出物测定法（中国药典2020年版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通则2201）项下的热浸法测定，不得少于16.0%。</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left"/>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【规格】 </w:t>
      </w:r>
      <w:r>
        <w:rPr>
          <w:rFonts w:hint="eastAsia" w:ascii="Times New Roman" w:hAnsi="Times New Roman" w:eastAsia="方正仿宋_GBK" w:cs="Times New Roman"/>
          <w:iCs/>
          <w:sz w:val="24"/>
          <w:szCs w:val="24"/>
        </w:rPr>
        <w:t>每1g配方颗粒相当于饮片5g</w:t>
      </w:r>
    </w:p>
    <w:p>
      <w:pPr>
        <w:ind w:firstLine="422"/>
        <w:rPr>
          <w:rFonts w:cs="Times New Roman"/>
          <w:sz w:val="21"/>
          <w:szCs w:val="21"/>
        </w:rPr>
      </w:pPr>
      <w:r>
        <w:rPr>
          <w:rFonts w:hint="eastAsia" w:ascii="方正黑体_GBK" w:hAnsi="黑体" w:eastAsia="方正黑体_GBK" w:cs="Times New Roman"/>
          <w:b w:val="0"/>
          <w:bCs/>
          <w:sz w:val="24"/>
          <w:szCs w:val="24"/>
        </w:rPr>
        <w:t xml:space="preserve">【贮藏】 </w:t>
      </w:r>
      <w:r>
        <w:rPr>
          <w:rFonts w:hint="eastAsia" w:ascii="Times New Roman" w:hAnsi="Times New Roman" w:eastAsia="方正仿宋_GBK" w:cs="Times New Roman"/>
          <w:iCs/>
          <w:sz w:val="24"/>
          <w:szCs w:val="24"/>
        </w:rPr>
        <w:t>密封。</w:t>
      </w:r>
    </w:p>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F1C5A/TAQAApQMAAA4AAAAAAAAAAQAgAAAA&#10;IgEAAGRycy9lMm9Eb2MueG1sUEsFBgAAAAAGAAYAWQEAAGcFAAAAAA==&#10;">
          <v:path/>
          <v:fill on="f" focussize="0,0"/>
          <v:stroke on="f" weight="1.25pt" joinstyle="miter"/>
          <v:imagedata o:title=""/>
          <o:lock v:ext="edit"/>
          <v:textbox inset="0mm,0mm,0mm,0mm" style="mso-fit-shape-to-text:t;">
            <w:txbxContent>
              <w:p>
                <w:pPr>
                  <w:pStyle w:val="8"/>
                  <w:ind w:firstLine="360"/>
                  <w:jc w:val="center"/>
                </w:pPr>
                <w:r>
                  <w:fldChar w:fldCharType="begin"/>
                </w:r>
                <w:r>
                  <w:instrText xml:space="preserve"> PAGE   \* MERGEFORMAT </w:instrText>
                </w:r>
                <w:r>
                  <w:fldChar w:fldCharType="separate"/>
                </w:r>
                <w:r>
                  <w:rPr>
                    <w:lang w:val="zh-CN"/>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1290"/>
        <w:tab w:val="right" w:pos="8312"/>
        <w:tab w:val="clear" w:pos="8306"/>
      </w:tabs>
      <w:wordWrap w:val="0"/>
      <w:spacing w:afterLines="100"/>
      <w:ind w:firstLine="360"/>
      <w:jc w:val="right"/>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RlZTMxYjRhMTA0MzYxZTFkZjUzNjJjZWU5YThjMjUifQ=="/>
  </w:docVars>
  <w:rsids>
    <w:rsidRoot w:val="00660166"/>
    <w:rsid w:val="001B1D63"/>
    <w:rsid w:val="003C4E19"/>
    <w:rsid w:val="003D6741"/>
    <w:rsid w:val="004417D8"/>
    <w:rsid w:val="00574F1F"/>
    <w:rsid w:val="00593641"/>
    <w:rsid w:val="005C6EF7"/>
    <w:rsid w:val="005D4FD1"/>
    <w:rsid w:val="00660166"/>
    <w:rsid w:val="006A6662"/>
    <w:rsid w:val="00A368E9"/>
    <w:rsid w:val="00FD651E"/>
    <w:rsid w:val="01C979DB"/>
    <w:rsid w:val="046E7132"/>
    <w:rsid w:val="0A4D14F8"/>
    <w:rsid w:val="108C2814"/>
    <w:rsid w:val="12695F68"/>
    <w:rsid w:val="171B2DF6"/>
    <w:rsid w:val="1AD70146"/>
    <w:rsid w:val="1D7F1C04"/>
    <w:rsid w:val="2251019E"/>
    <w:rsid w:val="27782A7F"/>
    <w:rsid w:val="2A505807"/>
    <w:rsid w:val="2FA633B5"/>
    <w:rsid w:val="300B2726"/>
    <w:rsid w:val="371D006C"/>
    <w:rsid w:val="371F6FD0"/>
    <w:rsid w:val="39715D7A"/>
    <w:rsid w:val="3D4D518C"/>
    <w:rsid w:val="3F0B0262"/>
    <w:rsid w:val="41673F2E"/>
    <w:rsid w:val="448615ED"/>
    <w:rsid w:val="44C66287"/>
    <w:rsid w:val="472840BD"/>
    <w:rsid w:val="4E524648"/>
    <w:rsid w:val="4FDD14EB"/>
    <w:rsid w:val="51926A4E"/>
    <w:rsid w:val="55ED3753"/>
    <w:rsid w:val="5AC4067B"/>
    <w:rsid w:val="691E375A"/>
    <w:rsid w:val="69C05700"/>
    <w:rsid w:val="6AE61E9F"/>
    <w:rsid w:val="6FCF56A0"/>
    <w:rsid w:val="747D0073"/>
    <w:rsid w:val="7A57096E"/>
    <w:rsid w:val="7C8E17BA"/>
    <w:rsid w:val="7EB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8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ind w:firstLine="0" w:firstLineChars="0"/>
      <w:jc w:val="center"/>
      <w:outlineLvl w:val="0"/>
    </w:pPr>
    <w:rPr>
      <w:rFonts w:cs="Times New Roman"/>
      <w:b/>
      <w:bCs/>
      <w:kern w:val="44"/>
      <w:sz w:val="28"/>
      <w:szCs w:val="44"/>
    </w:rPr>
  </w:style>
  <w:style w:type="paragraph" w:styleId="3">
    <w:name w:val="heading 2"/>
    <w:basedOn w:val="1"/>
    <w:next w:val="1"/>
    <w:qFormat/>
    <w:uiPriority w:val="9"/>
    <w:pPr>
      <w:keepNext/>
      <w:keepLines/>
      <w:ind w:firstLine="0" w:firstLineChars="0"/>
      <w:jc w:val="left"/>
      <w:outlineLvl w:val="1"/>
    </w:pPr>
    <w:rPr>
      <w:rFonts w:cs="Times New Roman"/>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unhideWhenUsed/>
    <w:qFormat/>
    <w:uiPriority w:val="0"/>
  </w:style>
  <w:style w:type="paragraph" w:styleId="5">
    <w:name w:val="Body Text"/>
    <w:basedOn w:val="1"/>
    <w:qFormat/>
    <w:uiPriority w:val="1"/>
    <w:pPr>
      <w:ind w:left="239"/>
    </w:pPr>
    <w:rPr>
      <w:rFonts w:ascii="宋体" w:hAnsi="宋体" w:cs="宋体"/>
      <w:sz w:val="21"/>
      <w:szCs w:val="21"/>
      <w:lang w:val="zh-CN" w:bidi="zh-CN"/>
    </w:rPr>
  </w:style>
  <w:style w:type="paragraph" w:styleId="6">
    <w:name w:val="Plain Text"/>
    <w:basedOn w:val="1"/>
    <w:qFormat/>
    <w:uiPriority w:val="0"/>
    <w:rPr>
      <w:rFonts w:ascii="宋体" w:hAnsi="Courier New" w:cs="Times New Roman"/>
      <w:kern w:val="0"/>
      <w:sz w:val="20"/>
      <w:szCs w:val="21"/>
    </w:rPr>
  </w:style>
  <w:style w:type="paragraph" w:styleId="7">
    <w:name w:val="Balloon Text"/>
    <w:basedOn w:val="1"/>
    <w:link w:val="30"/>
    <w:qFormat/>
    <w:uiPriority w:val="0"/>
    <w:pPr>
      <w:spacing w:line="240" w:lineRule="auto"/>
    </w:pPr>
    <w:rPr>
      <w:sz w:val="18"/>
      <w:szCs w:val="18"/>
    </w:rPr>
  </w:style>
  <w:style w:type="paragraph" w:styleId="8">
    <w:name w:val="footer"/>
    <w:basedOn w:val="1"/>
    <w:unhideWhenUsed/>
    <w:qFormat/>
    <w:uiPriority w:val="99"/>
    <w:pPr>
      <w:tabs>
        <w:tab w:val="center" w:pos="4153"/>
        <w:tab w:val="right" w:pos="8306"/>
      </w:tabs>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0">
    <w:name w:val="toc 1"/>
    <w:basedOn w:val="1"/>
    <w:next w:val="1"/>
    <w:qFormat/>
    <w:uiPriority w:val="0"/>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hint="eastAsia" w:ascii="宋体" w:hAnsi="宋体" w:cs="Times New Roman"/>
      <w:kern w:val="0"/>
      <w:szCs w:val="24"/>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5">
    <w:name w:val="网格型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6">
    <w:name w:val="表格"/>
    <w:basedOn w:val="1"/>
    <w:qFormat/>
    <w:uiPriority w:val="0"/>
    <w:pPr>
      <w:spacing w:line="240" w:lineRule="auto"/>
      <w:ind w:firstLine="0" w:firstLineChars="0"/>
      <w:jc w:val="center"/>
    </w:pPr>
    <w:rPr>
      <w:rFonts w:cs="Times New Roman"/>
      <w:kern w:val="0"/>
      <w:sz w:val="18"/>
      <w:szCs w:val="20"/>
    </w:rPr>
  </w:style>
  <w:style w:type="paragraph" w:customStyle="1" w:styleId="17">
    <w:name w:val="引用1"/>
    <w:basedOn w:val="1"/>
    <w:next w:val="1"/>
    <w:qFormat/>
    <w:uiPriority w:val="29"/>
    <w:pPr>
      <w:spacing w:line="240" w:lineRule="auto"/>
      <w:ind w:firstLine="0" w:firstLineChars="0"/>
      <w:jc w:val="center"/>
    </w:pPr>
    <w:rPr>
      <w:rFonts w:cs="Times New Roman"/>
      <w:iCs/>
      <w:color w:val="000000"/>
      <w:kern w:val="0"/>
      <w:sz w:val="18"/>
      <w:szCs w:val="20"/>
    </w:rPr>
  </w:style>
  <w:style w:type="character" w:customStyle="1" w:styleId="18">
    <w:name w:val="黑体字 Char"/>
    <w:link w:val="19"/>
    <w:qFormat/>
    <w:uiPriority w:val="0"/>
    <w:rPr>
      <w:rFonts w:ascii="黑体" w:hAnsi="黑体" w:eastAsia="黑体" w:cs="Times New Roman"/>
      <w:b/>
      <w:kern w:val="0"/>
      <w:sz w:val="20"/>
      <w:szCs w:val="24"/>
    </w:rPr>
  </w:style>
  <w:style w:type="paragraph" w:customStyle="1" w:styleId="19">
    <w:name w:val="黑体字"/>
    <w:basedOn w:val="1"/>
    <w:link w:val="18"/>
    <w:qFormat/>
    <w:uiPriority w:val="0"/>
    <w:pPr>
      <w:ind w:firstLine="413" w:firstLineChars="196"/>
    </w:pPr>
    <w:rPr>
      <w:rFonts w:ascii="黑体" w:hAnsi="黑体" w:eastAsia="黑体" w:cs="Times New Roman"/>
      <w:b/>
      <w:kern w:val="0"/>
      <w:sz w:val="20"/>
      <w:szCs w:val="24"/>
    </w:rPr>
  </w:style>
  <w:style w:type="table" w:customStyle="1" w:styleId="20">
    <w:name w:val="网格型1"/>
    <w:qFormat/>
    <w:uiPriority w:val="59"/>
    <w:rPr>
      <w:rFonts w:ascii="Calibri" w:hAnsi="Calibri" w:cs="黑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21">
    <w:name w:val="No Spacing"/>
    <w:qFormat/>
    <w:uiPriority w:val="1"/>
    <w:pPr>
      <w:widowControl w:val="0"/>
      <w:jc w:val="center"/>
    </w:pPr>
    <w:rPr>
      <w:rFonts w:ascii="Times New Roman" w:hAnsi="Times New Roman" w:eastAsiaTheme="minorEastAsia" w:cstheme="minorBidi"/>
      <w:kern w:val="2"/>
      <w:sz w:val="21"/>
      <w:szCs w:val="22"/>
      <w:lang w:val="en-US" w:eastAsia="zh-CN" w:bidi="ar-SA"/>
    </w:rPr>
  </w:style>
  <w:style w:type="table" w:customStyle="1" w:styleId="22">
    <w:name w:val="网格型11"/>
    <w:basedOn w:val="12"/>
    <w:qFormat/>
    <w:uiPriority w:val="59"/>
    <w:rPr>
      <w:rFonts w:ascii="Calibri" w:hAnsi="Calibri" w:cs="黑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3">
    <w:name w:val="样式3"/>
    <w:basedOn w:val="24"/>
    <w:qFormat/>
    <w:uiPriority w:val="0"/>
    <w:rPr>
      <w:shd w:val="clear" w:color="auto" w:fill="FFFFFF"/>
    </w:rPr>
  </w:style>
  <w:style w:type="paragraph" w:customStyle="1" w:styleId="24">
    <w:name w:val="样式1"/>
    <w:basedOn w:val="4"/>
    <w:qFormat/>
    <w:uiPriority w:val="0"/>
    <w:pPr>
      <w:jc w:val="center"/>
    </w:pPr>
    <w:rPr>
      <w:sz w:val="18"/>
    </w:rPr>
  </w:style>
  <w:style w:type="table" w:customStyle="1" w:styleId="25">
    <w:name w:val="网格型3"/>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
    <w:name w:val="标题 41"/>
    <w:basedOn w:val="1"/>
    <w:qFormat/>
    <w:uiPriority w:val="9"/>
    <w:pPr>
      <w:keepNext/>
      <w:keepLines/>
      <w:outlineLvl w:val="3"/>
    </w:pPr>
    <w:rPr>
      <w:rFonts w:eastAsia="Times New Roman"/>
      <w:bCs/>
      <w:szCs w:val="28"/>
    </w:rPr>
  </w:style>
  <w:style w:type="character" w:customStyle="1" w:styleId="27">
    <w:name w:val="15"/>
    <w:basedOn w:val="14"/>
    <w:qFormat/>
    <w:uiPriority w:val="0"/>
    <w:rPr>
      <w:rFonts w:hint="default" w:ascii="Times New Roman" w:hAnsi="Times New Roman" w:cs="Times New Roman"/>
    </w:rPr>
  </w:style>
  <w:style w:type="paragraph" w:customStyle="1" w:styleId="28">
    <w:name w:val="WPSOffice手动目录 1"/>
    <w:qFormat/>
    <w:uiPriority w:val="0"/>
    <w:rPr>
      <w:rFonts w:asciiTheme="minorHAnsi" w:hAnsiTheme="minorHAnsi" w:eastAsiaTheme="minorEastAsia" w:cstheme="minorBidi"/>
      <w:lang w:val="en-US" w:eastAsia="zh-CN" w:bidi="ar-SA"/>
    </w:rPr>
  </w:style>
  <w:style w:type="paragraph" w:customStyle="1" w:styleId="29">
    <w:name w:val="Table Paragraph"/>
    <w:basedOn w:val="1"/>
    <w:qFormat/>
    <w:uiPriority w:val="1"/>
    <w:pPr>
      <w:spacing w:before="7"/>
      <w:ind w:left="701" w:right="664"/>
      <w:jc w:val="center"/>
    </w:pPr>
    <w:rPr>
      <w:rFonts w:ascii="宋体" w:hAnsi="宋体" w:cs="宋体"/>
      <w:lang w:val="zh-CN" w:bidi="zh-CN"/>
    </w:rPr>
  </w:style>
  <w:style w:type="character" w:customStyle="1" w:styleId="30">
    <w:name w:val="批注框文本 Char"/>
    <w:basedOn w:val="14"/>
    <w:link w:val="7"/>
    <w:qFormat/>
    <w:uiPriority w:val="0"/>
    <w:rPr>
      <w:rFonts w:cs="黑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CE31F-10B7-4842-92AC-2C6EB59353C7}">
  <ds:schemaRefs/>
</ds:datastoreItem>
</file>

<file path=docProps/app.xml><?xml version="1.0" encoding="utf-8"?>
<Properties xmlns="http://schemas.openxmlformats.org/officeDocument/2006/extended-properties" xmlns:vt="http://schemas.openxmlformats.org/officeDocument/2006/docPropsVTypes">
  <Template>Normal</Template>
  <Pages>3</Pages>
  <Words>1366</Words>
  <Characters>1674</Characters>
  <Lines>12</Lines>
  <Paragraphs>3</Paragraphs>
  <TotalTime>0</TotalTime>
  <ScaleCrop>false</ScaleCrop>
  <LinksUpToDate>false</LinksUpToDate>
  <CharactersWithSpaces>1701</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2022-11-18T01:16:00Z</dcterms:created>
  <dc:creator>Administrator</dc:creator>
  <cp:lastModifiedBy>峨眉神蛙</cp:lastModifiedBy>
  <dcterms:modified xsi:type="dcterms:W3CDTF">2022-12-02T07:14:13Z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2C2CD02B020745D8BC04C2FCAFF9328E</vt:lpwstr>
  </property>
</Properties>
</file>