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560" w:lineRule="exact"/>
        <w:ind w:firstLine="0" w:firstLineChars="0"/>
        <w:jc w:val="center"/>
        <w:rPr>
          <w:rFonts w:hint="eastAsia" w:ascii="方正黑体_GBK" w:hAnsi="黑体" w:eastAsia="方正黑体_GBK" w:cs="Times New Roman"/>
          <w:b w:val="0"/>
          <w:bCs/>
          <w:sz w:val="32"/>
          <w:szCs w:val="32"/>
          <w:lang w:eastAsia="zh-CN"/>
        </w:rPr>
      </w:pPr>
      <w:bookmarkStart w:id="0" w:name="_Toc18532"/>
      <w:r>
        <w:rPr>
          <w:rFonts w:hint="eastAsia" w:ascii="方正黑体_GBK" w:hAnsi="黑体" w:eastAsia="方正黑体_GBK" w:cs="Times New Roman"/>
          <w:b w:val="0"/>
          <w:bCs/>
          <w:sz w:val="32"/>
          <w:szCs w:val="32"/>
          <w:lang w:eastAsia="zh-CN"/>
        </w:rPr>
        <w:t>龟甲胶配方颗粒</w:t>
      </w:r>
      <w:bookmarkEnd w:id="0"/>
    </w:p>
    <w:p>
      <w:pPr>
        <w:adjustRightInd/>
        <w:snapToGrid/>
        <w:spacing w:line="560" w:lineRule="exact"/>
        <w:ind w:firstLine="0" w:firstLineChars="0"/>
        <w:jc w:val="center"/>
        <w:rPr>
          <w:rFonts w:hint="eastAsia" w:ascii="Times New Roman" w:hAnsi="Times New Roman" w:eastAsia="Arial Unicode MS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Arial Unicode MS" w:cs="Times New Roman"/>
          <w:sz w:val="24"/>
          <w:szCs w:val="24"/>
          <w:lang w:val="en-US" w:eastAsia="zh-CN"/>
        </w:rPr>
        <w:t>Guijiajiao Peifangkeli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Times New Roman" w:hAnsi="Times New Roman" w:eastAsia="宋体" w:cs="Times New Roman"/>
          <w:szCs w:val="21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left="0" w:right="0" w:firstLine="480" w:firstLineChars="200"/>
        <w:jc w:val="left"/>
        <w:textAlignment w:val="auto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 xml:space="preserve">【来源】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方正仿宋_GBK" w:cs="Times New Roman"/>
          <w:kern w:val="2"/>
          <w:sz w:val="24"/>
          <w:szCs w:val="24"/>
          <w:lang w:val="en-US" w:eastAsia="zh-CN" w:bidi="ar-SA"/>
        </w:rPr>
        <w:t>本品</w:t>
      </w:r>
      <w:r>
        <w:rPr>
          <w:rFonts w:hint="default" w:ascii="Times New Roman" w:hAnsi="Times New Roman" w:eastAsia="方正仿宋_GBK" w:cs="Times New Roman"/>
          <w:kern w:val="2"/>
          <w:sz w:val="24"/>
          <w:szCs w:val="24"/>
          <w:lang w:val="en-US" w:eastAsia="zh-CN" w:bidi="ar-SA"/>
        </w:rPr>
        <w:t>为龟科动物乌龟</w:t>
      </w:r>
      <w:r>
        <w:rPr>
          <w:rFonts w:hint="default" w:ascii="Times New Roman" w:hAnsi="Times New Roman" w:eastAsia="方正仿宋_GBK" w:cs="Times New Roman"/>
          <w:i/>
          <w:iCs/>
          <w:kern w:val="2"/>
          <w:sz w:val="24"/>
          <w:szCs w:val="24"/>
          <w:lang w:val="en-US" w:eastAsia="zh-CN" w:bidi="ar-SA"/>
        </w:rPr>
        <w:t>Chinemys reevesii</w:t>
      </w:r>
      <w:r>
        <w:rPr>
          <w:rFonts w:hint="default" w:ascii="Times New Roman" w:hAnsi="Times New Roman" w:eastAsia="方正仿宋_GBK" w:cs="Times New Roman"/>
          <w:kern w:val="2"/>
          <w:sz w:val="24"/>
          <w:szCs w:val="24"/>
          <w:lang w:val="en-US" w:eastAsia="zh-CN" w:bidi="ar-SA"/>
        </w:rPr>
        <w:t>（Gray）的背甲及腹甲</w:t>
      </w:r>
      <w:r>
        <w:rPr>
          <w:rFonts w:hint="eastAsia" w:ascii="Times New Roman" w:hAnsi="Times New Roman" w:eastAsia="方正仿宋_GBK" w:cs="Times New Roman"/>
          <w:kern w:val="2"/>
          <w:sz w:val="24"/>
          <w:szCs w:val="24"/>
          <w:lang w:val="en-US" w:eastAsia="zh-CN" w:bidi="ar-SA"/>
        </w:rPr>
        <w:t>经水煎煮、浓缩制成的固体胶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按标准汤剂的主要质量指标加工制成的配方颗粒。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【制法】</w:t>
      </w:r>
      <w:r>
        <w:rPr>
          <w:rFonts w:ascii="Times New Roman" w:hAnsi="Times New Roman" w:eastAsia="宋体" w:cs="Times New Roman"/>
          <w:b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b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取龟甲胶900g，加水煎煮溶化，滤过，加入辅料适量，干燥（或干燥，粉碎）（干浸膏出膏率为73%~100%），再加入辅料适量，混匀，制粒，制成1000g，即得。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 xml:space="preserve">【性状】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 xml:space="preserve">本品为浅黄色至棕黄色的颗粒；气微腥，味微甜。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【鉴别】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（1）取本品适量，研细，取0.5g，加70%乙醇5ml，超声处理20分钟，滤过，滤液蒸干，残渣加70%乙醇1ml使溶解，作为供试品溶液。再取甘氨酸对照品，加70%乙醇制成每1ml含0.5mg的溶液，作为对照品溶液。照薄层色谱法（中国药典2020年版通则0502）试验，吸取上述两种溶液各5µl，分别点于同一硅胶G薄层板上，以正丁醇-乙醇-冰醋酸-水（4∶1∶1∶1）为展开剂，展开，取出，晾干，喷以茚三酮试液，在105℃加热至斑点显色清晰。供试品色谱中，在与对照品色谱相应的位置上，显相同颜色的斑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60" w:lineRule="exact"/>
        <w:ind w:firstLine="480" w:firstLineChars="200"/>
        <w:textAlignment w:val="auto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（2）取本品适量，研细，取0.1g，加1%碳酸氢铵溶液50ml，超声处理30分钟，用微孔滤膜滤过，取续滤液100μl，置微量进样瓶中，加胰蛋白酶溶液10μl（取序列分析用胰蛋白酶，加1%碳酸氢铵溶液制成每1ml中含1mg的溶液，临用时配制），摇匀，37℃恒温酶解12小时，作为供试品溶液。另取龟甲胶对照药材0.1g，同法制成对照药材溶液。照高效液相色谱法-质谱法（中国药典2020年版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通则0512和通则0431）试验，以十八烷基硅烷键合硅胶为填充剂（色谱柱长为100mm，内径2.1mm，粒径为1.8μm~1.9μm）；以乙腈为流动相A，以0.1%甲酸溶液为流动相B，按下表中的规定进行梯度洗脱；流速为每分钟0.3ml，柱温为30℃。采用质谱检测器，电喷雾正离子模式（ESI+），进行多反应监测（MRM），选择质荷比（m/z）631.3（双电荷）→546.4和631.3（双电荷）→921.4作为检测离子对。取龟甲胶对照药材溶液，进样5μl，按上述检测离子对测定的MRM色谱峰的信噪比均应大于3∶1。</w:t>
      </w:r>
    </w:p>
    <w:tbl>
      <w:tblPr>
        <w:tblStyle w:val="6"/>
        <w:tblW w:w="8505" w:type="dxa"/>
        <w:jc w:val="center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2835"/>
        <w:gridCol w:w="2835"/>
      </w:tblGrid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</w:rPr>
              <w:t>时间（分钟）</w:t>
            </w:r>
          </w:p>
        </w:tc>
        <w:tc>
          <w:tcPr>
            <w:tcW w:w="283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</w:rPr>
              <w:t>流动相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A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%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</w:rPr>
              <w:t>）</w:t>
            </w:r>
          </w:p>
        </w:tc>
        <w:tc>
          <w:tcPr>
            <w:tcW w:w="283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</w:rPr>
              <w:t>流动相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B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%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～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5→20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95→80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～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20→50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80→50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吸取供试品溶液5μl，注入高效液相色谱-质谱联用仪，测定。以质荷比（m/z）631.3（双电荷）→546.4和（m/z）631.3（双电荷）→921.4离子对提取的供试品离子流色谱中，应同时呈现与对照药材色谱保留时间一致的色谱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 xml:space="preserve">【检查】 </w:t>
      </w:r>
      <w:r>
        <w:rPr>
          <w:rFonts w:ascii="Times New Roman" w:hAnsi="Times New Roman" w:eastAsia="宋体" w:cs="Times New Roman"/>
          <w:b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应符合颗粒剂项下有关的各项规定（中国药典2020年版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通则0104）。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 xml:space="preserve">【浸出物】 </w:t>
      </w:r>
      <w:r>
        <w:rPr>
          <w:rFonts w:hint="eastAsia" w:ascii="Times New Roman" w:hAnsi="Times New Roman" w:eastAsia="宋体" w:cs="Times New Roman"/>
          <w:b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取本品适量，研细，取约2g，精密称定，精密加入乙醇100ml，照醇溶性浸出物测定法（中国药典2020年版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通则2201）项下的热浸法测定，不得少于10.0%。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【含量测定】</w:t>
      </w:r>
      <w:r>
        <w:rPr>
          <w:rFonts w:hint="eastAsia" w:ascii="Times New Roman" w:hAnsi="Times New Roman" w:eastAsia="宋体" w:cs="Times New Roman"/>
          <w:b/>
          <w:szCs w:val="21"/>
        </w:rPr>
        <w:t xml:space="preserve"> 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照高效液相色谱法（中国药典2020年版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1" w:afterLines="500" w:line="560" w:lineRule="exact"/>
        <w:ind w:firstLine="482" w:firstLineChars="200"/>
        <w:textAlignment w:val="auto"/>
        <w:rPr>
          <w:rFonts w:hint="eastAsia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>色谱条件与系统适用性试验</w:t>
      </w:r>
      <w:r>
        <w:rPr>
          <w:rFonts w:hint="eastAsia" w:ascii="Times New Roman" w:hAnsi="Times New Roman" w:eastAsia="宋体" w:cs="黑体"/>
          <w:b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 xml:space="preserve"> 以十八烷基硅烷键合硅胶为填充剂；以乙腈-0.1mol/L醋酸钠溶液（用醋酸调节pH值至6.5）（7:93）为流动相A；以乙腈-水（4:1）为流动相B，按表7-2中的规定进行梯度洗脱；柱温为43℃；检测波长为254nm。理论板数按L-羟脯氨酸峰计算应不低于4000。</w:t>
      </w:r>
    </w:p>
    <w:tbl>
      <w:tblPr>
        <w:tblStyle w:val="6"/>
        <w:tblW w:w="8505" w:type="dxa"/>
        <w:jc w:val="center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2835"/>
        <w:gridCol w:w="2835"/>
      </w:tblGrid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</w:rPr>
              <w:t>时间（分钟）</w:t>
            </w:r>
          </w:p>
        </w:tc>
        <w:tc>
          <w:tcPr>
            <w:tcW w:w="2835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</w:rPr>
              <w:t>流动相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A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%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</w:rPr>
              <w:t>）</w:t>
            </w:r>
          </w:p>
        </w:tc>
        <w:tc>
          <w:tcPr>
            <w:tcW w:w="2835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</w:rPr>
              <w:t>流动相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B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%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0~11</w:t>
            </w:r>
          </w:p>
        </w:tc>
        <w:tc>
          <w:tcPr>
            <w:tcW w:w="2835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100→93</w:t>
            </w:r>
          </w:p>
        </w:tc>
        <w:tc>
          <w:tcPr>
            <w:tcW w:w="2835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0→7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11~13.9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93→88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7→12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13.9~14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88→85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12→15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14~29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85→66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15→34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nil"/>
              <w:left w:val="nil"/>
              <w:bottom w:val="single" w:color="000000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29~30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66→0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34→100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对照品溶液的制备 </w:t>
      </w:r>
      <w:r>
        <w:rPr>
          <w:rFonts w:ascii="Times New Roman" w:hAnsi="Times New Roman" w:eastAsia="宋体" w:cs="Times New Roman"/>
          <w:b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取L-羟脯氨酸对照品、甘氨酸对照品、丙氨酸对照品、脯氨酸对照品适量，精密称定，加0.1mol/L盐酸溶液制成每1ml含L-羟脯氨酸70μg、甘氨酸140μg、丙氨酸60μg、脯氨酸70μg的混合溶液，即得。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供试品溶液的制备 </w:t>
      </w:r>
      <w:r>
        <w:rPr>
          <w:rFonts w:hint="eastAsia" w:ascii="Times New Roman" w:hAnsi="Times New Roman" w:eastAsia="宋体" w:cs="黑体"/>
          <w:b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取本品适量，研细，取约0.3g，精密称定，置25ml量瓶中，加0.1mol/L盐酸溶液20ml，超声处理（功率300W，频率40kHz）30分钟，放冷，加0.1mol/L盐酸溶液至刻度，摇匀。精密量取2ml，置5ml安瓿中，加盐酸2ml，150°C水解1小时，放冷，移至蒸发皿中，用水10ml分次洗涤，洗液并入蒸发皿中，蒸干，残渣加0.1mol/L盐酸溶液溶解，转移至25ml量瓶中，加0.1mol/L盐酸溶液至刻度，摇匀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精密量取上述对照品溶液和供试品溶液各5ml，分别置25ml量瓶中，各加0.1mol/L异硫氰酸苯酯（PITC）的乙腈溶液2.5ml，1mol/L三乙胺的乙腈溶液2.5ml，摇匀，室温放置1小时后，加50%乙腈至刻度，摇匀。取10ml，加正己烷10ml，振摇，放置10分钟，取下层溶液，滤过，取续滤液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测定法 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分别精密吸取衍生化后的对照品溶液与供试品溶液各3μl，注入液相色谱仪，测定，即得。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eastAsia="方正仿宋_GBK" w:cs="Times New Roman"/>
          <w:sz w:val="24"/>
          <w:szCs w:val="24"/>
        </w:rPr>
        <w:t>本品每1g含L-羟脯氨酸（C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</w:rPr>
        <w:t>5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H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</w:rPr>
        <w:t>9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NO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）应为45.0 mg ~112.0mg；甘氨酸（C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H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</w:rPr>
        <w:t>5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NO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）应为100.0mg~220.0mg；丙氨酸（C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H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</w:rPr>
        <w:t>7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NO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）应为45.0mg~100.0mg；L-脯氨酸（C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</w:rPr>
        <w:t>5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H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</w:rPr>
        <w:t>9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NO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）应为55.0mg~116.0mg。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 xml:space="preserve">【规格】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每1g配方颗粒相当于饮片0.9g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 xml:space="preserve">【贮藏】 </w:t>
      </w:r>
      <w:r>
        <w:rPr>
          <w:rFonts w:hint="eastAsia" w:ascii="Times New Roman" w:hAnsi="Times New Roman" w:eastAsia="宋体" w:cs="Times New Roman"/>
          <w:b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密封。</w:t>
      </w:r>
    </w:p>
    <w:p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ind w:left="0" w:leftChars="0" w:firstLine="0" w:firstLineChars="0"/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val="zh-CN"/>
                            </w:rPr>
                            <w:t>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 xml:space="preserve"> 1 -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-</w:t>
                          </w:r>
                        </w:p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ind w:left="0" w:leftChars="0" w:firstLine="0" w:firstLineChars="0"/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val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 xml:space="preserve"> 1 -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-</w:t>
                    </w:r>
                  </w:p>
                  <w:p/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  <w:r>
      <w:rPr>
        <w:sz w:val="18"/>
      </w:rPr>
      <w:pict>
        <v:shape id="PowerPlusWaterMarkObject14076" o:spid="_x0000_s4097" o:spt="136" type="#_x0000_t136" style="position:absolute;left:0pt;height:50.1pt;width:537.15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云南省中药配方颗粒标准公示稿" style="font-family:微软雅黑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lZTMxYjRhMTA0MzYxZTFkZjUzNjJjZWU5YThjMjUifQ=="/>
  </w:docVars>
  <w:rsids>
    <w:rsidRoot w:val="00B65B6F"/>
    <w:rsid w:val="0006026C"/>
    <w:rsid w:val="002C67A8"/>
    <w:rsid w:val="002D1E91"/>
    <w:rsid w:val="003B483A"/>
    <w:rsid w:val="006A2712"/>
    <w:rsid w:val="0079651C"/>
    <w:rsid w:val="007A2253"/>
    <w:rsid w:val="00816B3E"/>
    <w:rsid w:val="00B65B6F"/>
    <w:rsid w:val="00DA5630"/>
    <w:rsid w:val="00F42B4F"/>
    <w:rsid w:val="00FE751D"/>
    <w:rsid w:val="050B478F"/>
    <w:rsid w:val="05D37841"/>
    <w:rsid w:val="061816F7"/>
    <w:rsid w:val="11D949F0"/>
    <w:rsid w:val="2DF81343"/>
    <w:rsid w:val="315C322F"/>
    <w:rsid w:val="50A20D78"/>
    <w:rsid w:val="5BE4354C"/>
    <w:rsid w:val="5E9C4A1F"/>
    <w:rsid w:val="7D86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0" w:firstLineChars="0"/>
      <w:jc w:val="center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1636</Words>
  <Characters>2162</Characters>
  <Lines>15</Lines>
  <Paragraphs>4</Paragraphs>
  <TotalTime>0</TotalTime>
  <ScaleCrop>false</ScaleCrop>
  <LinksUpToDate>false</LinksUpToDate>
  <CharactersWithSpaces>2197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2022-11-22T09:10:00Z</dcterms:created>
  <dc:creator>Lenovo1</dc:creator>
  <cp:lastModifiedBy>峨眉神蛙</cp:lastModifiedBy>
  <dcterms:modified xsi:type="dcterms:W3CDTF">2022-12-02T02:11:33Z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11019F4DC7084047A7433CFB52884D3D</vt:lpwstr>
  </property>
</Properties>
</file>