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60" w:lineRule="exact"/>
        <w:ind w:firstLine="0" w:firstLineChars="0"/>
        <w:jc w:val="center"/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</w:pPr>
      <w:bookmarkStart w:id="0" w:name="_Toc14781"/>
      <w:r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  <w:t>蜜金樱子配方颗粒</w:t>
      </w:r>
      <w:bookmarkEnd w:id="0"/>
    </w:p>
    <w:p>
      <w:pPr>
        <w:adjustRightInd/>
        <w:snapToGrid/>
        <w:spacing w:line="560" w:lineRule="exact"/>
        <w:ind w:firstLine="0" w:firstLineChars="0"/>
        <w:jc w:val="center"/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  <w:t>Mijinyingzi Peifangkeli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/>
        <w:jc w:val="left"/>
        <w:textAlignment w:val="auto"/>
        <w:rPr>
          <w:rFonts w:ascii="Times New Roman" w:hAnsi="Times New Roman" w:eastAsia="方正仿宋_GBK" w:cs="Times New Roman"/>
          <w:iCs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【来源】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iCs/>
          <w:sz w:val="24"/>
          <w:szCs w:val="24"/>
        </w:rPr>
        <w:t>本品为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蔷薇科植物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eastAsia="zh-CN"/>
        </w:rPr>
        <w:t>金樱子</w:t>
      </w:r>
      <w:r>
        <w:rPr>
          <w:rFonts w:ascii="Times New Roman" w:hAnsi="Times New Roman" w:eastAsia="方正仿宋_GBK" w:cs="Times New Roman"/>
          <w:i/>
          <w:iCs w:val="0"/>
          <w:sz w:val="24"/>
          <w:szCs w:val="24"/>
        </w:rPr>
        <w:t>Rosa laevigata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eastAsia="方正仿宋_GBK" w:cs="Times New Roman"/>
          <w:iCs/>
          <w:sz w:val="24"/>
          <w:szCs w:val="24"/>
        </w:rPr>
        <w:t>Michx.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的干燥成熟果实</w:t>
      </w:r>
      <w:r>
        <w:rPr>
          <w:rFonts w:ascii="Times New Roman" w:hAnsi="Times New Roman" w:eastAsia="方正仿宋_GBK" w:cs="Times New Roman"/>
          <w:iCs/>
          <w:sz w:val="24"/>
          <w:szCs w:val="24"/>
        </w:rPr>
        <w:t>经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</w:rPr>
        <w:t>炮制并按标准汤剂的主要质量指标</w:t>
      </w:r>
      <w:r>
        <w:rPr>
          <w:rFonts w:ascii="Times New Roman" w:hAnsi="Times New Roman" w:eastAsia="方正仿宋_GBK" w:cs="Times New Roman"/>
          <w:iCs/>
          <w:sz w:val="24"/>
          <w:szCs w:val="24"/>
        </w:rPr>
        <w:t>加工制成的配方颗粒。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 xml:space="preserve">【生产用饮片的炮制】 </w:t>
      </w:r>
      <w:r>
        <w:rPr>
          <w:rStyle w:val="8"/>
          <w:rFonts w:hint="eastAsia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应按照《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山东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省中药炮制规范》2012年版规定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金樱子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项下规定的方法炮制。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>【制法】</w:t>
      </w: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 xml:space="preserve"> </w:t>
      </w:r>
      <w:r>
        <w:rPr>
          <w:rStyle w:val="8"/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取蜜金樱子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（金樱子肉）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饮片1300g，加水煎煮，滤过，滤液浓缩成清膏（干浸膏出膏率为27%~57%），加入辅料适量，干燥，再加入辅料适量，混匀，制粒，制成1000g，即得。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>【性状】</w:t>
      </w:r>
      <w:r>
        <w:rPr>
          <w:rFonts w:hint="default" w:ascii="Times New Roman" w:hAnsi="Times New Roman" w:eastAsia="宋体" w:cs="Times New Roman"/>
          <w:b w:val="0"/>
          <w:sz w:val="21"/>
          <w:szCs w:val="21"/>
        </w:rPr>
        <w:t xml:space="preserve"> </w:t>
      </w:r>
      <w:r>
        <w:rPr>
          <w:rFonts w:hint="eastAsia" w:cs="Times New Roman"/>
          <w:b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本品为黄棕色至红棕色的颗粒；气微，味微酸而涩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 xml:space="preserve">【鉴别】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本品1g，研细，加水25ml使溶解，用乙酸乙酯振摇提取两次，每次30ml，合并乙酸乙酯液，蒸干，残渣加甲醇0.5ml使溶解，作为供试品溶液。取金樱子对照药材2g，加水70ml，煮沸30分钟，滤过，滤液浓缩至25ml，用乙酸乙酯振摇提取两次，同法制成对照药材溶液。照薄层色谱法（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通则0502）试验，吸取上述两种溶液各6µl，分别点于同一硅胶G薄层板上，以三氯甲烷-乙酸乙酯-甲醇-甲酸（5∶5∶1∶0.1）为展开剂，展开，取出，晾干，置紫外光灯（365nm）下检视。供试品色谱中，在与对照药材色谱相应的位置上，显相同颜色的荧光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>【特征图谱】</w:t>
      </w:r>
      <w:r>
        <w:rPr>
          <w:rFonts w:hint="default" w:ascii="Times New Roman" w:hAnsi="Times New Roman" w:cs="Times New Roman"/>
          <w:b/>
          <w:sz w:val="21"/>
          <w:szCs w:val="21"/>
        </w:rPr>
        <w:t xml:space="preserve"> 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照高效液相色谱法（中国药典2020年版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jc w:val="left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以十八烷基硅烷键合硅胶为填充剂（柱长100mm，内径2.1mm，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粒径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1.8μm）；以甲醇-0.05%磷酸（4∶96）为流动相；流速为每分钟0.35ml；柱温为40℃；检测波长为202nm。理论板数按儿茶素峰计算应不低于6000。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参照物溶液的制备 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取金樱子对照药材0.3g，置具塞锥形瓶中，加50%甲醇20ml，加热回流30分钟，放冷，摇匀，滤过，取续滤液，作为对照药材参照物溶液。另取儿茶素对照品适量，精密称定，加甲醇制成每1ml含20μg的溶液，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>作为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对照品参照物溶液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供试品溶液的制备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取本品适量，研细，</w:t>
      </w:r>
      <w:bookmarkStart w:id="1" w:name="_GoBack"/>
      <w:bookmarkEnd w:id="1"/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取约0.5g，置具塞锥形瓶中，加50%甲醇20ml，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加热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回流30分钟，取出，放冷，摇匀，滤过，取续滤液，即得。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测定法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 xml:space="preserve"> 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分别精密吸取参照物溶液与供试品溶液各1μl，注入液相色谱仪，测定，即得。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cs="Times New Roman"/>
          <w:szCs w:val="24"/>
        </w:rPr>
      </w:pP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供试品色谱中应呈现4个特征峰，并应与对照药材参照物色谱中的4个特征峰保留时间相对应；与儿茶素参照物峰相对应的峰为S峰，计算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峰1、峰2、峰4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与S峰的相对保留时间，其相对保留时间应在规定值的±10％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范围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之内，规定值为：0.56（峰1）、0.91（峰2）、1.21（峰4）。</w:t>
      </w:r>
    </w:p>
    <w:p>
      <w:pPr>
        <w:widowControl/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sz w:val="18"/>
          <w:szCs w:val="20"/>
          <w:lang w:eastAsia="zh-CN"/>
        </w:rPr>
      </w:pPr>
      <w:r>
        <w:rPr>
          <w:rFonts w:hint="eastAsia" w:ascii="Times New Roman" w:hAnsi="Times New Roman" w:eastAsia="宋体" w:cs="Times New Roman"/>
          <w:sz w:val="18"/>
          <w:szCs w:val="20"/>
          <w:lang w:eastAsia="zh-CN"/>
        </w:rPr>
        <w:drawing>
          <wp:inline distT="0" distB="0" distL="114300" distR="114300">
            <wp:extent cx="5400040" cy="2219325"/>
            <wp:effectExtent l="0" t="0" r="10160" b="5715"/>
            <wp:docPr id="32" name="图片 32" descr="配方颗粒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配方颗粒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line="240" w:lineRule="auto"/>
        <w:ind w:firstLine="422" w:firstLineChars="200"/>
        <w:jc w:val="center"/>
        <w:textAlignment w:val="auto"/>
        <w:rPr>
          <w:rFonts w:hint="default" w:ascii="Times New Roman" w:hAnsi="Times New Roman" w:eastAsia="方正仿宋_GBK" w:cs="Times New Roman"/>
          <w:b/>
          <w:sz w:val="21"/>
          <w:szCs w:val="21"/>
        </w:rPr>
      </w:pPr>
      <w:r>
        <w:rPr>
          <w:rFonts w:hint="default" w:ascii="Times New Roman" w:hAnsi="Times New Roman" w:eastAsia="方正仿宋_GBK" w:cs="Times New Roman"/>
          <w:b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hint="default" w:ascii="Times New Roman" w:hAnsi="Times New Roman" w:eastAsia="方正仿宋_GBK" w:cs="Times New Roman"/>
          <w:b/>
          <w:sz w:val="21"/>
          <w:szCs w:val="21"/>
        </w:rPr>
      </w:pPr>
      <w:r>
        <w:rPr>
          <w:rFonts w:hint="default" w:ascii="Times New Roman" w:hAnsi="Times New Roman" w:eastAsia="方正仿宋_GBK" w:cs="Times New Roman"/>
          <w:b/>
          <w:sz w:val="21"/>
          <w:szCs w:val="21"/>
        </w:rPr>
        <w:t>峰3（S）：儿茶素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422" w:firstLineChars="200"/>
        <w:jc w:val="center"/>
        <w:textAlignment w:val="auto"/>
        <w:rPr>
          <w:rFonts w:hint="default" w:ascii="Times New Roman" w:hAnsi="Times New Roman" w:eastAsia="方正仿宋_GBK" w:cs="Times New Roman"/>
          <w:b/>
          <w:sz w:val="21"/>
          <w:szCs w:val="21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b/>
          <w:sz w:val="21"/>
          <w:szCs w:val="21"/>
        </w:rPr>
        <w:t>色谱柱：HSS T3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/>
          <w:sz w:val="21"/>
          <w:szCs w:val="21"/>
          <w:lang w:val="en-US" w:eastAsia="zh-CN"/>
        </w:rPr>
        <w:t>2.1mm×100mm，1.8μm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>【检查】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 xml:space="preserve"> 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溶化性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 xml:space="preserve"> 照颗粒剂溶化性检查方法（中国药典2020年版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通则0104）检查，加热水200ml，搅拌5分钟（必要时加热煮沸5分钟），立即观察，应全部溶化，不得有异物和焦屑。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其他 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应符合颗粒剂项下有关的各项规定（中国药典2020年版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通则0104）。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>【浸出物】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 xml:space="preserve"> </w:t>
      </w:r>
      <w:r>
        <w:rPr>
          <w:rFonts w:hint="eastAsia" w:cs="Times New Roman"/>
          <w:b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取本品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适量，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研细，取约2g，精密称定，精密加入乙醇100ml，照醇溶性浸出物测定法（中国药典2020年版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通则2201）项下的热浸法测定，不得少于10.0%。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>【含量测定】</w:t>
      </w:r>
      <w:r>
        <w:rPr>
          <w:rFonts w:hint="default" w:ascii="Times New Roman" w:hAnsi="Times New Roman" w:cs="Times New Roman"/>
          <w:b/>
          <w:sz w:val="21"/>
          <w:szCs w:val="21"/>
        </w:rPr>
        <w:t xml:space="preserve"> </w:t>
      </w:r>
      <w:r>
        <w:rPr>
          <w:rFonts w:hint="eastAsia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照高效液相色谱法（中国药典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2020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年版</w:t>
      </w:r>
      <w:r>
        <w:rPr>
          <w:rFonts w:hint="eastAsia" w:eastAsia="方正仿宋_GBK" w:cs="Times New Roman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通则0512）测定。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jc w:val="left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以十八烷基硅烷键合硅胶为填充剂；以甲醇-0.1%磷酸溶液（40∶60）为流动相；检测波长为254nm。理论板数按鞣花酸峰计算应不低于4000。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/>
        <w:jc w:val="left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对照品溶液的制备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取鞣花酸对照品适量，精密称定，置棕色量瓶中，加甲醇制成每1ml 含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0μg的溶液，即得。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/>
        <w:jc w:val="left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供试品溶液的制备 </w:t>
      </w: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取本品适量，研细，取0.2g，精密称定，置具塞锥形瓶中，加甲醇50ml，称定重量，加热回流45分钟，取出，放冷，再称定重量，加甲醇补足减失的重量，摇匀，滤过，取续滤液，即得。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/>
        <w:jc w:val="left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测定法</w:t>
      </w:r>
      <w:r>
        <w:rPr>
          <w:rFonts w:hint="default" w:ascii="Times New Roman" w:hAnsi="Times New Roman" w:cs="Times New Roman"/>
          <w:sz w:val="21"/>
          <w:szCs w:val="21"/>
          <w:highlight w:val="none"/>
        </w:rPr>
        <w:t xml:space="preserve"> </w:t>
      </w:r>
      <w:r>
        <w:rPr>
          <w:rFonts w:hint="eastAsia" w:cs="Times New Roman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分别精密吸取对照品溶液与供试品溶液各10μl，注入液相色谱仪，测定，即得。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/>
        <w:jc w:val="left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本品每1g含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鞣花酸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（C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14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H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O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vertAlign w:val="subscript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）含量应为0.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mg~</w:t>
      </w:r>
      <w:r>
        <w:rPr>
          <w:rFonts w:hint="eastAsia" w:ascii="Times New Roman" w:hAnsi="Times New Roman" w:eastAsia="方正仿宋_GBK" w:cs="Times New Roman"/>
          <w:iCs/>
          <w:sz w:val="24"/>
          <w:szCs w:val="24"/>
          <w:lang w:val="en-US" w:eastAsia="zh-CN"/>
        </w:rPr>
        <w:t>2.0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mg。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/>
        <w:jc w:val="left"/>
        <w:textAlignment w:val="auto"/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>【规格】</w:t>
      </w:r>
      <w:r>
        <w:rPr>
          <w:rStyle w:val="8"/>
          <w:rFonts w:hint="default" w:ascii="Times New Roman" w:hAnsi="Times New Roman" w:eastAsia="宋体" w:cs="Times New Roman"/>
          <w:b w:val="0"/>
          <w:sz w:val="21"/>
          <w:szCs w:val="21"/>
        </w:rPr>
        <w:t xml:space="preserve"> </w:t>
      </w:r>
      <w:r>
        <w:rPr>
          <w:rStyle w:val="8"/>
          <w:rFonts w:hint="eastAsia" w:cs="Times New Roman"/>
          <w:b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sz w:val="24"/>
          <w:szCs w:val="24"/>
          <w:lang w:val="en-US" w:eastAsia="zh-CN"/>
        </w:rPr>
        <w:t>每1g配方颗粒相当于饮片1.3g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2"/>
        <w:textAlignment w:val="auto"/>
        <w:rPr>
          <w:rFonts w:hint="default" w:ascii="Times New Roman" w:hAnsi="Times New Roman" w:eastAsia="方正仿宋_GBK" w:cs="Times New Roman"/>
          <w:iCs/>
          <w:kern w:val="2"/>
          <w:sz w:val="24"/>
          <w:szCs w:val="24"/>
          <w:lang w:val="en-US" w:eastAsia="zh-CN" w:bidi="ar-SA"/>
        </w:rPr>
      </w:pPr>
      <w:r>
        <w:rPr>
          <w:rFonts w:hint="default" w:ascii="方正黑体_GBK" w:hAnsi="黑体" w:eastAsia="方正黑体_GBK" w:cs="Times New Roman"/>
          <w:b w:val="0"/>
          <w:bCs/>
          <w:kern w:val="2"/>
          <w:sz w:val="24"/>
          <w:szCs w:val="24"/>
          <w:lang w:val="en-US" w:eastAsia="zh-CN" w:bidi="ar-SA"/>
        </w:rPr>
        <w:t>【贮藏】</w:t>
      </w:r>
      <w:r>
        <w:rPr>
          <w:rFonts w:hint="eastAsia" w:ascii="Times New Roman" w:hAnsi="Times New Roman" w:cs="Times New Roman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kern w:val="0"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iCs/>
          <w:kern w:val="2"/>
          <w:sz w:val="24"/>
          <w:szCs w:val="24"/>
          <w:lang w:val="en-US" w:eastAsia="zh-CN" w:bidi="ar-SA"/>
        </w:rPr>
        <w:t>密封。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</w:pPr>
    </w:p>
    <w:sectPr>
      <w:headerReference r:id="rId5" w:type="default"/>
      <w:footerReference r:id="rId6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25755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75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ind w:left="0" w:leftChars="0" w:firstLine="0" w:firstLineChars="0"/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25.65pt;mso-position-horizontal:center;mso-position-horizontal-relative:margin;z-index:251659264;mso-width-relative:page;mso-height-relative:page;" filled="f" stroked="f" coordsize="21600,21600" o:gfxdata="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gs69Z1AAAAAQBAAAPAAAAAAAAAAEAIAAAACIAAABkcnMvZG93bnJldi54&#10;bWxQSwECFAAUAAAACACHTuJAYPPEezcCAABiBAAADgAAAAAAAAABACAAAAAj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left="0" w:leftChars="0" w:firstLine="0" w:firstLineChars="0"/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1 -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PowerPlusWaterMarkObject14076" o:spid="_x0000_s4097" o:spt="136" type="#_x0000_t136" style="position:absolute;left:0pt;height:50.1pt;width:537.15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lZTMxYjRhMTA0MzYxZTFkZjUzNjJjZWU5YThjMjUifQ=="/>
  </w:docVars>
  <w:rsids>
    <w:rsidRoot w:val="00000000"/>
    <w:rsid w:val="05431959"/>
    <w:rsid w:val="0EB978ED"/>
    <w:rsid w:val="18BB43F0"/>
    <w:rsid w:val="2FC75D14"/>
    <w:rsid w:val="4C4A1FC5"/>
    <w:rsid w:val="659836EC"/>
    <w:rsid w:val="66AF18C4"/>
    <w:rsid w:val="756F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48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Times New Roman"/>
      <w:kern w:val="0"/>
      <w:sz w:val="20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黑体字 Char"/>
    <w:link w:val="9"/>
    <w:qFormat/>
    <w:uiPriority w:val="0"/>
    <w:rPr>
      <w:rFonts w:ascii="黑体" w:hAnsi="黑体" w:eastAsia="黑体" w:cs="Times New Roman"/>
      <w:b/>
      <w:kern w:val="0"/>
      <w:sz w:val="20"/>
      <w:szCs w:val="24"/>
    </w:rPr>
  </w:style>
  <w:style w:type="paragraph" w:customStyle="1" w:styleId="9">
    <w:name w:val="黑体字"/>
    <w:basedOn w:val="1"/>
    <w:link w:val="8"/>
    <w:qFormat/>
    <w:uiPriority w:val="0"/>
    <w:pPr>
      <w:ind w:firstLine="413" w:firstLineChars="196"/>
    </w:pPr>
    <w:rPr>
      <w:rFonts w:ascii="黑体" w:hAnsi="黑体" w:eastAsia="黑体" w:cs="Times New Roman"/>
      <w:b/>
      <w:kern w:val="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1418</Words>
  <Characters>1681</Characters>
  <Lines>0</Lines>
  <Paragraphs>0</Paragraphs>
  <TotalTime>4</TotalTime>
  <ScaleCrop>false</ScaleCrop>
  <LinksUpToDate>false</LinksUpToDate>
  <CharactersWithSpaces>1733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2022-11-22T09:07:00Z</dcterms:created>
  <dc:creator>Administrator</dc:creator>
  <cp:lastModifiedBy>峨眉神蛙</cp:lastModifiedBy>
  <dcterms:modified xsi:type="dcterms:W3CDTF">2022-12-02T08:32:25Z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1F8C494B48B846E287496185BDF5FCCF</vt:lpwstr>
  </property>
</Properties>
</file>