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560" w:lineRule="exact"/>
        <w:ind w:firstLine="0" w:firstLineChars="0"/>
        <w:jc w:val="center"/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</w:pPr>
      <w:bookmarkStart w:id="0" w:name="_Toc14725"/>
      <w:r>
        <w:rPr>
          <w:rFonts w:hint="eastAsia" w:ascii="方正黑体_GBK" w:hAnsi="黑体" w:eastAsia="方正黑体_GBK" w:cs="Times New Roman"/>
          <w:b w:val="0"/>
          <w:bCs/>
          <w:sz w:val="32"/>
          <w:szCs w:val="32"/>
          <w:lang w:eastAsia="zh-CN"/>
        </w:rPr>
        <w:t>蜡梅花配方颗粒</w:t>
      </w:r>
      <w:bookmarkEnd w:id="0"/>
    </w:p>
    <w:p>
      <w:pPr>
        <w:adjustRightInd/>
        <w:snapToGrid/>
        <w:spacing w:line="560" w:lineRule="exact"/>
        <w:ind w:firstLine="0" w:firstLineChars="0"/>
        <w:jc w:val="center"/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Arial Unicode MS" w:cs="Times New Roman"/>
          <w:sz w:val="24"/>
          <w:szCs w:val="24"/>
          <w:lang w:val="en-US" w:eastAsia="zh-CN"/>
        </w:rPr>
        <w:t>Lameihua Peifangkeli</w:t>
      </w:r>
    </w:p>
    <w:p>
      <w:pPr>
        <w:spacing w:line="400" w:lineRule="exact"/>
        <w:ind w:firstLine="420" w:firstLineChars="200"/>
        <w:rPr>
          <w:rFonts w:ascii="宋体" w:hAnsi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24"/>
          <w:szCs w:val="24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【来源】</w:t>
      </w:r>
      <w:r>
        <w:rPr>
          <w:sz w:val="21"/>
          <w:szCs w:val="21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本品为</w:t>
      </w:r>
      <w:r>
        <w:rPr>
          <w:rFonts w:hint="eastAsia" w:ascii="Times New Roman" w:hAnsi="Times New Roman" w:eastAsia="方正仿宋_GBK" w:cs="Times New Roman"/>
          <w:sz w:val="24"/>
          <w:szCs w:val="24"/>
          <w:lang w:eastAsia="zh-CN"/>
        </w:rPr>
        <w:t>蜡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梅科植物</w:t>
      </w:r>
      <w:r>
        <w:rPr>
          <w:rFonts w:hint="eastAsia" w:ascii="Times New Roman" w:hAnsi="Times New Roman" w:eastAsia="方正仿宋_GBK" w:cs="Times New Roman"/>
          <w:sz w:val="24"/>
          <w:szCs w:val="24"/>
          <w:lang w:eastAsia="zh-CN"/>
        </w:rPr>
        <w:t>蜡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梅</w:t>
      </w:r>
      <w:r>
        <w:rPr>
          <w:rFonts w:hint="eastAsia" w:ascii="Times New Roman" w:hAnsi="Times New Roman" w:eastAsia="方正仿宋_GBK" w:cs="Times New Roman"/>
          <w:i/>
          <w:iCs/>
          <w:sz w:val="24"/>
          <w:szCs w:val="24"/>
        </w:rPr>
        <w:t>Chimonanthus praecox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（L.）Link 的干燥花蕾经</w:t>
      </w:r>
      <w:r>
        <w:rPr>
          <w:rFonts w:hint="eastAsia" w:ascii="Times New Roman" w:hAnsi="Times New Roman" w:eastAsia="方正仿宋_GBK" w:cs="Times New Roman"/>
          <w:sz w:val="24"/>
          <w:szCs w:val="24"/>
          <w:lang w:eastAsia="zh-CN"/>
        </w:rPr>
        <w:t>炮制并按标准汤剂的主要质量指标</w:t>
      </w:r>
      <w:r>
        <w:rPr>
          <w:rFonts w:hint="eastAsia" w:ascii="Times New Roman" w:hAnsi="Times New Roman" w:eastAsia="方正仿宋_GBK" w:cs="Times New Roman"/>
          <w:sz w:val="24"/>
          <w:szCs w:val="24"/>
        </w:rPr>
        <w:t>加工制成的配方颗粒。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【</w:t>
      </w: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>生产用饮片的炮制</w:t>
      </w: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>】</w:t>
      </w:r>
      <w:r>
        <w:rPr>
          <w:rFonts w:hint="eastAsia" w:ascii="Times New Roman" w:hAnsi="Times New Roman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应按照《中华人民共和国卫生部药品标准》（中药材第一册）蜡梅花项下规定的方法炮制。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20"/>
        <w:jc w:val="both"/>
        <w:textAlignment w:val="auto"/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【制法】 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取蜡梅花饮片2500g，加水煎煮，滤过，滤液浓缩成清膏（干浸膏出膏率为17%～32%），加入辅料适量，干燥，再加入辅料适量，混匀，制粒，制成1000g，即得。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</w:rPr>
        <w:t xml:space="preserve">【性状】 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本品为黄棕色至棕褐色的颗粒；气微，味苦，微涩。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zh-CN" w:eastAsia="zh-CN"/>
        </w:rPr>
        <w:t>【鉴别】</w:t>
      </w: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1"/>
          <w:szCs w:val="21"/>
          <w:lang w:val="zh-CN" w:eastAsia="zh-CN" w:bidi="zh-CN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取本品0.5g，研细，加适量水湿润，加乙酸乙酯25ml，超声处理30分钟，滤过，滤液蒸干，残渣加乙酸乙酯2ml使溶解，作为供试品溶液。另取蜡梅花对照药材1g，加水70ml，煮沸30分钟，滤过，滤液蒸至近干，加乙酸乙酯25ml，同法制成对照药材溶液。照薄层色谱法（中国药典2020年版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通则0502）试验，吸取上述两种溶液各1μl，分别点于同一硅胶G薄层板上，以正己烷-乙酸乙酯-甲酸（1∶1∶0.1）为展开剂，展开，取出，晾干，置紫外光灯（365nm）下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检视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。供试品色谱中，在与对照药材色谱相应的位置上，显相同颜色的荧光斑点。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zh-CN" w:eastAsia="zh-CN"/>
        </w:rPr>
        <w:t xml:space="preserve">【特征图谱】 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照高效液相色谱法（中国药典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2020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年版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jc w:val="both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zh-CN" w:eastAsia="zh-CN"/>
        </w:rPr>
        <w:t xml:space="preserve">色谱条件与系统适用性试验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含量测定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zh-CN" w:eastAsia="zh-CN"/>
        </w:rPr>
        <w:t xml:space="preserve">参照物溶液的制备 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取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蜡梅花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对照药材0.5g，置具塞锥形瓶中，加70%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乙醇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50ml，加热回流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1小时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，放冷，摇匀，滤过，取续滤液，作为对照药材参照物溶液。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取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槲皮素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对照品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、山柰素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对照品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适量，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精密称定，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加甲醇制成每1ml含槲皮素60μg、山柰素20μg的混合溶液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>；另取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含量测定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项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>下对照品溶液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作为对照品参照物溶液。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zh-CN" w:eastAsia="zh-CN"/>
        </w:rPr>
        <w:t xml:space="preserve">供试品溶液的制备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[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含量测定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]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zh-CN" w:eastAsia="zh-CN"/>
        </w:rPr>
        <w:t>测定法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分别精密吸取参照物溶液和供试品溶液各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μl，注入液相色谱仪，测定，即得。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480" w:firstLineChars="200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供试品色谱中应呈现5个特征峰，并应与对照药材参照物色谱中的5个特征峰保留时间相对应，其中峰2、峰4及峰5应与相应对照品参照物峰的保留时间相对应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。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>以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与芦丁参照物峰相对应的峰为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S峰，计算各峰1、峰3与S峰的相对保留时间，其相对保留时间应在规定值的±10%范围之内，规定值为：0.66（峰1）、1.42（峰3）。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FF000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FF0000"/>
          <w:sz w:val="21"/>
          <w:szCs w:val="21"/>
          <w:highlight w:val="none"/>
          <w:lang w:val="en-US" w:eastAsia="zh-CN"/>
        </w:rPr>
        <w:drawing>
          <wp:inline distT="0" distB="0" distL="114300" distR="114300">
            <wp:extent cx="5400040" cy="2552700"/>
            <wp:effectExtent l="0" t="0" r="10160" b="7620"/>
            <wp:docPr id="20" name="图片 20" descr="蜡梅花对照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蜡梅花对照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default" w:ascii="Times New Roman" w:hAnsi="Times New Roman" w:eastAsia="方正仿宋_GBK" w:cs="Times New Roman"/>
          <w:b/>
          <w:sz w:val="21"/>
          <w:szCs w:val="21"/>
        </w:rPr>
      </w:pPr>
      <w:r>
        <w:rPr>
          <w:rFonts w:hint="default" w:ascii="Times New Roman" w:hAnsi="Times New Roman" w:eastAsia="方正仿宋_GBK" w:cs="Times New Roman"/>
          <w:b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default" w:ascii="Times New Roman" w:hAnsi="Times New Roman" w:eastAsia="方正仿宋_GBK" w:cs="Times New Roman"/>
          <w:b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sz w:val="21"/>
          <w:szCs w:val="21"/>
        </w:rPr>
        <w:t>峰2：芦丁；峰4：槲皮素；峰5：山柰素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363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b/>
          <w:sz w:val="21"/>
          <w:szCs w:val="21"/>
        </w:rPr>
        <w:t>色谱柱：</w:t>
      </w:r>
      <w:r>
        <w:rPr>
          <w:rFonts w:hint="default" w:ascii="Times New Roman" w:hAnsi="Times New Roman" w:eastAsia="方正仿宋_GBK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Cortecs T3，</w:t>
      </w:r>
      <w:r>
        <w:rPr>
          <w:rFonts w:hint="eastAsia" w:ascii="Times New Roman" w:hAnsi="Times New Roman" w:eastAsia="方正仿宋_GBK" w:cs="Times New Roman"/>
          <w:b/>
          <w:sz w:val="21"/>
          <w:szCs w:val="21"/>
        </w:rPr>
        <w:t>2.1mm</w:t>
      </w:r>
      <w:r>
        <w:rPr>
          <w:rFonts w:hint="default" w:ascii="Times New Roman" w:hAnsi="Times New Roman" w:eastAsia="方正仿宋_GBK" w:cs="Times New Roman"/>
          <w:b/>
          <w:sz w:val="21"/>
          <w:szCs w:val="21"/>
        </w:rPr>
        <w:t>×</w:t>
      </w:r>
      <w:r>
        <w:rPr>
          <w:rFonts w:hint="eastAsia" w:ascii="Times New Roman" w:hAnsi="Times New Roman" w:eastAsia="方正仿宋_GBK" w:cs="Times New Roman"/>
          <w:b/>
          <w:sz w:val="21"/>
          <w:szCs w:val="21"/>
          <w:lang w:val="en-US" w:eastAsia="zh-CN"/>
        </w:rPr>
        <w:t>100mm，1.6mm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zh-CN" w:eastAsia="zh-CN"/>
        </w:rPr>
        <w:t>【检查】</w:t>
      </w:r>
      <w:r>
        <w:rPr>
          <w:rFonts w:cs="Times New Roman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应符合颗粒剂项下有关的各项规定（中国药典2020年版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通则0104）。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zh-CN" w:eastAsia="zh-CN"/>
        </w:rPr>
        <w:t>【浸出物】</w:t>
      </w:r>
      <w:r>
        <w:rPr>
          <w:rFonts w:hint="default" w:ascii="Times New Roman" w:hAnsi="Times New Roman" w:cs="Times New Roman"/>
          <w:b/>
          <w:sz w:val="21"/>
          <w:szCs w:val="21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取本品研细，取约2g，精密称定，精密加入乙醇100ml，照醇溶性浸出物测定法（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中国药典2020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年版通则2201）项下的热浸法测定，不得少于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12.0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48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zh-CN" w:eastAsia="zh-CN"/>
        </w:rPr>
        <w:t>【</w:t>
      </w:r>
      <w:r>
        <w:rPr>
          <w:rFonts w:hint="eastAsia" w:ascii="方正黑体_GBK" w:hAnsi="黑体" w:eastAsia="方正黑体_GBK" w:cs="Times New Roman"/>
          <w:b w:val="0"/>
          <w:bCs/>
          <w:sz w:val="24"/>
          <w:szCs w:val="24"/>
          <w:lang w:val="en-US" w:eastAsia="zh-CN"/>
        </w:rPr>
        <w:t>含量测定</w:t>
      </w: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zh-CN" w:eastAsia="zh-CN"/>
        </w:rPr>
        <w:t>】</w:t>
      </w:r>
      <w:r>
        <w:rPr>
          <w:rFonts w:hint="default" w:ascii="Times New Roman" w:hAnsi="Times New Roman" w:eastAsia="宋体" w:cs="Times New Roman"/>
          <w:b/>
          <w:bCs/>
          <w:color w:val="auto"/>
          <w:kern w:val="0"/>
          <w:sz w:val="21"/>
          <w:szCs w:val="21"/>
          <w:lang w:val="zh-CN" w:eastAsia="zh-CN" w:bidi="zh-CN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照高效液相色谱法（中国药典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2020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年版</w:t>
      </w:r>
      <w:r>
        <w:rPr>
          <w:rFonts w:hint="eastAsia" w:eastAsia="方正仿宋_GBK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zh-CN" w:eastAsia="zh-CN"/>
        </w:rPr>
        <w:t>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色谱条件与系统适用性试验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kern w:val="0"/>
          <w:sz w:val="21"/>
          <w:szCs w:val="21"/>
          <w:lang w:val="en-US" w:eastAsia="zh-CN" w:bidi="zh-CN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以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十八烷基硅烷键合硅胶为填充剂（柱长为100mm，内径为2.1mm，粒径为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1.6~1.8μm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）；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以甲醇为流动相A，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以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0.2%磷酸溶液为流动相B，按下表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的规定进行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梯度洗脱；流速为每分钟0.3ml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；</w:t>
      </w:r>
      <w:r>
        <w:rPr>
          <w:rFonts w:hint="eastAsia" w:ascii="Times New Roman" w:hAnsi="Times New Roman" w:eastAsia="方正仿宋_GBK" w:cs="Times New Roman"/>
          <w:sz w:val="24"/>
          <w:szCs w:val="24"/>
          <w:lang w:val="zh-CN" w:eastAsia="zh-CN"/>
        </w:rPr>
        <w:t>柱温为35℃；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检测波长为355nm。理论板数按芦丁峰计算应不低于5000。</w:t>
      </w:r>
    </w:p>
    <w:tbl>
      <w:tblPr>
        <w:tblStyle w:val="5"/>
        <w:tblW w:w="8505" w:type="dxa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  <w:gridCol w:w="2835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000000" w:sz="12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时间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eastAsia="zh-CN"/>
              </w:rPr>
              <w:t>（分钟）</w:t>
            </w:r>
          </w:p>
        </w:tc>
        <w:tc>
          <w:tcPr>
            <w:tcW w:w="2835" w:type="dxa"/>
            <w:tcBorders>
              <w:top w:val="single" w:color="000000" w:sz="12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流动相A(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2835" w:type="dxa"/>
            <w:tcBorders>
              <w:top w:val="single" w:color="000000" w:sz="12" w:space="0"/>
              <w:bottom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流动相B(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</w:rPr>
              <w:t>%</w:t>
            </w: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0~3</w:t>
            </w:r>
          </w:p>
        </w:tc>
        <w:tc>
          <w:tcPr>
            <w:tcW w:w="2835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2835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75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3~4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25→27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75→73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4~13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27→29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73→71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13~14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29→36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71→64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83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14~30</w:t>
            </w:r>
          </w:p>
        </w:tc>
        <w:tc>
          <w:tcPr>
            <w:tcW w:w="283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36→42</w:t>
            </w:r>
          </w:p>
        </w:tc>
        <w:tc>
          <w:tcPr>
            <w:tcW w:w="283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1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1"/>
                <w:szCs w:val="21"/>
                <w:lang w:val="en-US" w:eastAsia="zh-CN"/>
              </w:rPr>
              <w:t>64→58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对照品溶液的制备</w:t>
      </w:r>
      <w:r>
        <w:rPr>
          <w:rFonts w:hint="eastAsia" w:ascii="Times New Roman" w:hAnsi="Times New Roman" w:cs="Times New Roman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取芦丁对照品适量，精密称定，加甲醇制成每1ml含90μg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溶液，即得。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 xml:space="preserve">供试品溶液的制备 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取本品适量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，研细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，取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约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0.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g，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精密称定，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置具塞锥形瓶中，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精密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加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入70%乙醇25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ml，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称定重量，超声处理（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功率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300W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，频率40kHz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）30分钟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，取出，放冷，再称定重量，加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70%乙醇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补足减失的重量，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摇匀，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测</w:t>
      </w:r>
      <w:bookmarkStart w:id="1" w:name="_GoBack"/>
      <w:bookmarkEnd w:id="1"/>
      <w:r>
        <w:rPr>
          <w:rFonts w:hint="default" w:ascii="方正仿宋_GBK" w:hAnsi="黑体" w:eastAsia="方正仿宋_GBK" w:cs="Times New Roman"/>
          <w:b/>
          <w:sz w:val="24"/>
          <w:szCs w:val="24"/>
          <w:lang w:val="en-US" w:eastAsia="zh-CN"/>
        </w:rPr>
        <w:t>定法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分别精密吸取对照品溶液与供试品溶液各1μl，注入液相色谱仪，测定，即得。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textAlignment w:val="auto"/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本品每1g含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芦丁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（C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  <w:lang w:val="en-US" w:eastAsia="zh-CN"/>
        </w:rPr>
        <w:t>27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H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O</w:t>
      </w:r>
      <w:r>
        <w:rPr>
          <w:rFonts w:hint="default" w:ascii="Times New Roman" w:hAnsi="Times New Roman" w:eastAsia="方正仿宋_GBK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eastAsia="方正仿宋_GBK" w:cs="Times New Roman"/>
          <w:sz w:val="24"/>
          <w:szCs w:val="24"/>
          <w:vertAlign w:val="subscript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）应为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2.0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mg~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15.0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mg。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20"/>
        <w:jc w:val="left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zh-CN" w:eastAsia="zh-CN"/>
        </w:rPr>
        <w:t>【规格】</w:t>
      </w:r>
      <w:r>
        <w:rPr>
          <w:rFonts w:cs="Times New Roman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每1g配方颗粒相当于饮片</w:t>
      </w:r>
      <w:r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  <w:t>2.5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hint="default" w:ascii="方正黑体_GBK" w:hAnsi="黑体" w:eastAsia="方正黑体_GBK" w:cs="Times New Roman"/>
          <w:b w:val="0"/>
          <w:bCs/>
          <w:sz w:val="24"/>
          <w:szCs w:val="24"/>
          <w:lang w:val="zh-CN" w:eastAsia="zh-CN"/>
        </w:rPr>
        <w:t>【贮藏】</w:t>
      </w:r>
      <w:r>
        <w:rPr>
          <w:rFonts w:cs="Times New Roman"/>
          <w:b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密封。</w:t>
      </w:r>
    </w:p>
    <w:sectPr>
      <w:headerReference r:id="rId5" w:type="default"/>
      <w:footerReference r:id="rId6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ind w:left="0" w:leftChars="0" w:firstLine="0" w:firstLineChars="0"/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  <w:lang w:val="zh-CN"/>
                            </w:rPr>
                            <w:t>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 xml:space="preserve"> 1 -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1"/>
                              <w:szCs w:val="21"/>
                              <w:lang w:val="en-US" w:eastAsia="zh-CN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left="0" w:leftChars="0" w:firstLine="0" w:firstLineChars="0"/>
                    </w:pP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  <w:lang w:val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 xml:space="preserve"> 1 -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1"/>
                        <w:szCs w:val="21"/>
                        <w:lang w:val="en-US" w:eastAsia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PowerPlusWaterMarkObject14076" o:spid="_x0000_s4097" o:spt="136" type="#_x0000_t136" style="position:absolute;left:0pt;height:50.1pt;width:537.1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云南省中药配方颗粒标准公示稿" style="font-family:微软雅黑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lZTMxYjRhMTA0MzYxZTFkZjUzNjJjZWU5YThjMjUifQ=="/>
  </w:docVars>
  <w:rsids>
    <w:rsidRoot w:val="2B0C7B3C"/>
    <w:rsid w:val="085521F1"/>
    <w:rsid w:val="0F6239E3"/>
    <w:rsid w:val="139A5089"/>
    <w:rsid w:val="170415AA"/>
    <w:rsid w:val="24C83409"/>
    <w:rsid w:val="2B0C7B3C"/>
    <w:rsid w:val="2C916B51"/>
    <w:rsid w:val="347855E2"/>
    <w:rsid w:val="66890723"/>
    <w:rsid w:val="6B710881"/>
    <w:rsid w:val="6C89640B"/>
    <w:rsid w:val="6D0869FF"/>
    <w:rsid w:val="6EF47329"/>
    <w:rsid w:val="7E77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48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1367</Words>
  <Characters>1647</Characters>
  <Lines>0</Lines>
  <Paragraphs>0</Paragraphs>
  <TotalTime>7</TotalTime>
  <ScaleCrop>false</ScaleCrop>
  <LinksUpToDate>false</LinksUpToDate>
  <CharactersWithSpaces>1676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2022-11-18T02:43:00Z</dcterms:created>
  <dc:creator>峨眉神蛙</dc:creator>
  <cp:lastModifiedBy>峨眉神蛙</cp:lastModifiedBy>
  <dcterms:modified xsi:type="dcterms:W3CDTF">2022-12-02T08:50:56Z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EA43F83F406A49DF82508AECC737583A</vt:lpwstr>
  </property>
</Properties>
</file>