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line="560" w:lineRule="exact"/>
        <w:ind w:firstLine="0" w:firstLineChars="0"/>
        <w:jc w:val="center"/>
        <w:rPr>
          <w:rFonts w:hint="eastAsia" w:ascii="方正黑体_GBK" w:hAnsi="黑体" w:eastAsia="方正黑体_GBK" w:cs="Times New Roman"/>
          <w:b w:val="0"/>
          <w:bCs/>
          <w:sz w:val="32"/>
          <w:szCs w:val="32"/>
          <w:lang w:eastAsia="zh-CN"/>
        </w:rPr>
      </w:pPr>
      <w:r>
        <w:rPr>
          <w:rFonts w:hint="eastAsia" w:ascii="方正黑体_GBK" w:hAnsi="黑体" w:eastAsia="方正黑体_GBK" w:cs="Times New Roman"/>
          <w:b w:val="0"/>
          <w:bCs/>
          <w:sz w:val="32"/>
          <w:szCs w:val="32"/>
          <w:lang w:eastAsia="zh-CN"/>
        </w:rPr>
        <w:t>焦稻芽配方颗粒</w:t>
      </w:r>
    </w:p>
    <w:p>
      <w:pPr>
        <w:adjustRightInd/>
        <w:snapToGrid/>
        <w:spacing w:line="560" w:lineRule="exact"/>
        <w:ind w:firstLine="0" w:firstLineChars="0"/>
        <w:jc w:val="center"/>
        <w:rPr>
          <w:rFonts w:hint="eastAsia" w:ascii="Times New Roman" w:hAnsi="Times New Roman" w:eastAsia="Arial Unicode MS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Arial Unicode MS" w:cs="Times New Roman"/>
          <w:sz w:val="24"/>
          <w:szCs w:val="24"/>
          <w:lang w:val="en-US" w:eastAsia="zh-CN"/>
        </w:rPr>
        <w:t>Jiaodaoya Peifangkeli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/>
          <w:lang w:val="en-US" w:eastAsia="zh-CN"/>
        </w:rPr>
      </w:pPr>
    </w:p>
    <w:p>
      <w:pPr>
        <w:spacing w:line="360" w:lineRule="auto"/>
        <w:ind w:firstLine="480" w:firstLineChars="200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hint="eastAsia" w:ascii="方正黑体_GBK" w:hAnsi="黑体" w:eastAsia="方正黑体_GBK" w:cs="Times New Roman"/>
          <w:b w:val="0"/>
          <w:bCs/>
          <w:sz w:val="24"/>
          <w:szCs w:val="24"/>
        </w:rPr>
        <w:t>【来源】</w:t>
      </w:r>
      <w:r>
        <w:rPr>
          <w:rFonts w:ascii="Times New Roman" w:hAnsi="Times New Roman" w:eastAsia="方正仿宋_GBK" w:cs="Times New Roman"/>
          <w:sz w:val="24"/>
          <w:szCs w:val="24"/>
        </w:rPr>
        <w:t>本品为禾本科植物稻</w:t>
      </w:r>
      <w:r>
        <w:rPr>
          <w:rFonts w:ascii="Times New Roman" w:hAnsi="Times New Roman" w:eastAsia="方正仿宋_GBK" w:cs="Times New Roman"/>
          <w:i/>
          <w:iCs/>
          <w:sz w:val="24"/>
          <w:szCs w:val="24"/>
        </w:rPr>
        <w:t xml:space="preserve">Oryza sativa </w:t>
      </w:r>
      <w:r>
        <w:rPr>
          <w:rFonts w:ascii="Times New Roman" w:hAnsi="Times New Roman" w:eastAsia="方正仿宋_GBK" w:cs="Times New Roman"/>
          <w:sz w:val="24"/>
          <w:szCs w:val="24"/>
        </w:rPr>
        <w:t>L.的成熟果实发芽干燥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品经</w:t>
      </w:r>
      <w:r>
        <w:rPr>
          <w:rFonts w:ascii="Times New Roman" w:hAnsi="Times New Roman" w:eastAsia="方正仿宋_GBK" w:cs="Times New Roman"/>
          <w:sz w:val="24"/>
          <w:szCs w:val="24"/>
        </w:rPr>
        <w:t>炮制并按标准汤剂的主要质量指标加工制成的配方颗粒。</w:t>
      </w:r>
    </w:p>
    <w:p>
      <w:pPr>
        <w:spacing w:line="360" w:lineRule="auto"/>
        <w:ind w:firstLine="480" w:firstLineChars="200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hint="eastAsia" w:ascii="方正黑体_GBK" w:hAnsi="黑体" w:eastAsia="方正黑体_GBK" w:cs="Times New Roman"/>
          <w:b w:val="0"/>
          <w:bCs/>
          <w:sz w:val="24"/>
          <w:szCs w:val="24"/>
        </w:rPr>
        <w:t>【制法】</w:t>
      </w:r>
      <w:r>
        <w:rPr>
          <w:rFonts w:ascii="Times New Roman" w:hAnsi="Times New Roman" w:eastAsia="方正仿宋_GBK" w:cs="Times New Roman"/>
          <w:sz w:val="24"/>
          <w:szCs w:val="24"/>
        </w:rPr>
        <w:t>取焦稻芽饮片8300g，加水煎煮，滤过，滤液浓缩成清膏（干浸膏出膏率为7%~12%），干燥（或干燥，粉碎），加入辅料适量，混匀，制粒，制成1000g，即得。</w:t>
      </w:r>
    </w:p>
    <w:p>
      <w:pPr>
        <w:spacing w:line="360" w:lineRule="auto"/>
        <w:ind w:firstLine="480" w:firstLineChars="200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hint="eastAsia" w:ascii="方正黑体_GBK" w:hAnsi="黑体" w:eastAsia="方正黑体_GBK" w:cs="Times New Roman"/>
          <w:b w:val="0"/>
          <w:bCs/>
          <w:sz w:val="24"/>
          <w:szCs w:val="24"/>
        </w:rPr>
        <w:t>【性状】</w:t>
      </w:r>
      <w:r>
        <w:rPr>
          <w:rFonts w:ascii="Times New Roman" w:hAnsi="Times New Roman" w:eastAsia="方正仿宋_GBK" w:cs="Times New Roman"/>
          <w:sz w:val="24"/>
          <w:szCs w:val="24"/>
        </w:rPr>
        <w:t>本品为浅棕色至棕色颗粒；气微，味淡。</w:t>
      </w:r>
    </w:p>
    <w:p>
      <w:pPr>
        <w:spacing w:line="360" w:lineRule="auto"/>
        <w:ind w:firstLine="480" w:firstLineChars="200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hint="eastAsia" w:ascii="方正黑体_GBK" w:hAnsi="黑体" w:eastAsia="方正黑体_GBK" w:cs="Times New Roman"/>
          <w:b w:val="0"/>
          <w:bCs/>
          <w:sz w:val="24"/>
          <w:szCs w:val="24"/>
        </w:rPr>
        <w:t>【鉴别】</w:t>
      </w:r>
      <w:r>
        <w:rPr>
          <w:rFonts w:ascii="Times New Roman" w:hAnsi="Times New Roman" w:eastAsia="方正仿宋_GBK" w:cs="Times New Roman"/>
          <w:sz w:val="24"/>
          <w:szCs w:val="24"/>
        </w:rPr>
        <w:t>取本品2g，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研细，</w:t>
      </w:r>
      <w:r>
        <w:rPr>
          <w:rFonts w:ascii="Times New Roman" w:hAnsi="Times New Roman" w:eastAsia="方正仿宋_GBK" w:cs="Times New Roman"/>
          <w:sz w:val="24"/>
          <w:szCs w:val="24"/>
        </w:rPr>
        <w:t>加甲醇25ml，超声10分钟，滤过，蒸干，残渣加甲醇1ml使溶解，作为供试品溶液。另取4-香豆酸对照品，加甲醇制成每1ml含0.3mg的溶液，作为对照品溶液。照薄层色谱法（通则0502）试验，吸取上述溶液各2μl，分别点于同一硅胶G薄层板上，以甲苯-三氯甲烷-乙醇-乙酸（6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∶</w:t>
      </w:r>
      <w:r>
        <w:rPr>
          <w:rFonts w:ascii="Times New Roman" w:hAnsi="Times New Roman" w:eastAsia="方正仿宋_GBK" w:cs="Times New Roman"/>
          <w:sz w:val="24"/>
          <w:szCs w:val="24"/>
        </w:rPr>
        <w:t>4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∶</w:t>
      </w:r>
      <w:r>
        <w:rPr>
          <w:rFonts w:ascii="Times New Roman" w:hAnsi="Times New Roman" w:eastAsia="方正仿宋_GBK" w:cs="Times New Roman"/>
          <w:sz w:val="24"/>
          <w:szCs w:val="24"/>
        </w:rPr>
        <w:t>1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∶</w:t>
      </w:r>
      <w:r>
        <w:rPr>
          <w:rFonts w:ascii="Times New Roman" w:hAnsi="Times New Roman" w:eastAsia="方正仿宋_GBK" w:cs="Times New Roman"/>
          <w:sz w:val="24"/>
          <w:szCs w:val="24"/>
        </w:rPr>
        <w:t>1）为展开剂，展开，取出，晾干，喷以1%三氯化铁溶液-1%铁氰化钾溶液（1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∶</w:t>
      </w:r>
      <w:r>
        <w:rPr>
          <w:rFonts w:ascii="Times New Roman" w:hAnsi="Times New Roman" w:eastAsia="方正仿宋_GBK" w:cs="Times New Roman"/>
          <w:sz w:val="24"/>
          <w:szCs w:val="24"/>
        </w:rPr>
        <w:t>1）混合溶液（临用现配）。供试品色谱中，在与对照品色谱相应的位置上，显相同颜色的斑点。</w:t>
      </w:r>
    </w:p>
    <w:p>
      <w:pPr>
        <w:spacing w:line="360" w:lineRule="auto"/>
        <w:ind w:firstLine="480" w:firstLineChars="200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hint="eastAsia" w:ascii="方正黑体_GBK" w:hAnsi="黑体" w:eastAsia="方正黑体_GBK" w:cs="Times New Roman"/>
          <w:b w:val="0"/>
          <w:bCs/>
          <w:sz w:val="24"/>
          <w:szCs w:val="24"/>
        </w:rPr>
        <w:t>【特征图谱】</w:t>
      </w:r>
      <w:r>
        <w:rPr>
          <w:rFonts w:ascii="Times New Roman" w:hAnsi="Times New Roman" w:eastAsia="方正仿宋_GBK" w:cs="Times New Roman"/>
          <w:sz w:val="24"/>
          <w:szCs w:val="24"/>
        </w:rPr>
        <w:t>照高效液相色谱法（中国药典2020年版 通则0512）测定。</w:t>
      </w:r>
    </w:p>
    <w:p>
      <w:pPr>
        <w:spacing w:line="360" w:lineRule="auto"/>
        <w:ind w:firstLine="482" w:firstLineChars="200"/>
        <w:jc w:val="left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hint="eastAsia" w:ascii="方正仿宋_GBK" w:hAnsi="黑体" w:eastAsia="方正仿宋_GBK" w:cs="Times New Roman"/>
          <w:b/>
          <w:sz w:val="24"/>
          <w:szCs w:val="24"/>
          <w:lang w:val="en-US" w:eastAsia="zh-CN"/>
        </w:rPr>
        <w:t>色谱条件与系统适用性试验</w:t>
      </w:r>
      <w:r>
        <w:rPr>
          <w:rFonts w:ascii="Times New Roman" w:hAnsi="Times New Roman" w:eastAsia="宋体" w:cs="Times New Roman"/>
          <w:b/>
          <w:kern w:val="24"/>
          <w:sz w:val="24"/>
        </w:rPr>
        <w:t xml:space="preserve"> </w:t>
      </w:r>
      <w:r>
        <w:rPr>
          <w:rFonts w:ascii="Times New Roman" w:hAnsi="Times New Roman" w:eastAsia="方正仿宋_GBK" w:cs="Times New Roman"/>
          <w:sz w:val="24"/>
          <w:szCs w:val="24"/>
        </w:rPr>
        <w:t>同[含量测定]项。</w:t>
      </w:r>
    </w:p>
    <w:p>
      <w:pPr>
        <w:spacing w:line="360" w:lineRule="auto"/>
        <w:ind w:firstLine="482" w:firstLineChars="200"/>
        <w:jc w:val="left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hint="eastAsia" w:ascii="方正仿宋_GBK" w:hAnsi="黑体" w:eastAsia="方正仿宋_GBK" w:cs="Times New Roman"/>
          <w:b/>
          <w:sz w:val="24"/>
          <w:szCs w:val="24"/>
          <w:lang w:val="en-US" w:eastAsia="zh-CN"/>
        </w:rPr>
        <w:t xml:space="preserve">参照物溶液的制备 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取</w:t>
      </w:r>
      <w:r>
        <w:rPr>
          <w:rFonts w:ascii="Times New Roman" w:hAnsi="Times New Roman" w:eastAsia="方正仿宋_GBK" w:cs="Times New Roman"/>
          <w:sz w:val="24"/>
          <w:szCs w:val="24"/>
        </w:rPr>
        <w:t>5-羟甲基糠醛对照品适量精密称定，加70%乙醇制成每1ml含10μg的溶液，作为5-羟甲基糠醛对照品参照物溶液；另取[含量测定]项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下</w:t>
      </w:r>
      <w:r>
        <w:rPr>
          <w:rFonts w:ascii="Times New Roman" w:hAnsi="Times New Roman" w:eastAsia="方正仿宋_GBK" w:cs="Times New Roman"/>
          <w:sz w:val="24"/>
          <w:szCs w:val="24"/>
        </w:rPr>
        <w:t>对照品溶液，作为4-香豆酸对照品参照物溶液。</w:t>
      </w:r>
    </w:p>
    <w:p>
      <w:pPr>
        <w:spacing w:line="360" w:lineRule="auto"/>
        <w:ind w:firstLine="482" w:firstLineChars="200"/>
        <w:rPr>
          <w:rFonts w:hint="eastAsia" w:ascii="Times New Roman" w:hAnsi="Times New Roman" w:eastAsia="方正仿宋_GBK" w:cs="Times New Roman"/>
          <w:sz w:val="24"/>
          <w:szCs w:val="24"/>
        </w:rPr>
      </w:pPr>
      <w:r>
        <w:rPr>
          <w:rFonts w:hint="eastAsia" w:ascii="方正仿宋_GBK" w:hAnsi="黑体" w:eastAsia="方正仿宋_GBK" w:cs="Times New Roman"/>
          <w:b/>
          <w:sz w:val="24"/>
          <w:szCs w:val="24"/>
          <w:lang w:val="en-US" w:eastAsia="zh-CN"/>
        </w:rPr>
        <w:t>供试品溶液的制备</w:t>
      </w:r>
      <w:r>
        <w:rPr>
          <w:rFonts w:ascii="Times New Roman" w:hAnsi="Times New Roman" w:eastAsia="宋体" w:cs="Times New Roman"/>
          <w:b/>
          <w:kern w:val="24"/>
          <w:sz w:val="24"/>
        </w:rPr>
        <w:t xml:space="preserve"> 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同[含量测定]项。</w:t>
      </w:r>
    </w:p>
    <w:p>
      <w:pPr>
        <w:spacing w:line="360" w:lineRule="auto"/>
        <w:ind w:firstLine="482" w:firstLineChars="200"/>
        <w:rPr>
          <w:rFonts w:hint="eastAsia" w:ascii="Times New Roman" w:hAnsi="Times New Roman" w:eastAsia="方正仿宋_GBK" w:cs="Times New Roman"/>
          <w:sz w:val="24"/>
          <w:szCs w:val="24"/>
        </w:rPr>
      </w:pPr>
      <w:r>
        <w:rPr>
          <w:rFonts w:hint="eastAsia" w:ascii="方正仿宋_GBK" w:hAnsi="黑体" w:eastAsia="方正仿宋_GBK" w:cs="Times New Roman"/>
          <w:b/>
          <w:sz w:val="24"/>
          <w:szCs w:val="24"/>
          <w:lang w:val="en-US" w:eastAsia="zh-CN"/>
        </w:rPr>
        <w:t>测定法</w:t>
      </w:r>
      <w:r>
        <w:rPr>
          <w:rFonts w:ascii="Times New Roman" w:hAnsi="Times New Roman" w:eastAsia="宋体" w:cs="Times New Roman"/>
          <w:b/>
          <w:kern w:val="24"/>
          <w:sz w:val="24"/>
        </w:rPr>
        <w:t xml:space="preserve"> 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分别精密吸取参照物溶液与供试品溶液各10μl，注入液相色谱仪，测定，即得。</w:t>
      </w:r>
    </w:p>
    <w:p>
      <w:pPr>
        <w:spacing w:line="360" w:lineRule="auto"/>
        <w:ind w:firstLine="480" w:firstLineChars="200"/>
        <w:rPr>
          <w:rFonts w:hint="eastAsia" w:ascii="Times New Roman" w:hAnsi="Times New Roman" w:eastAsia="方正仿宋_GBK" w:cs="Times New Roman"/>
          <w:sz w:val="24"/>
          <w:szCs w:val="24"/>
        </w:rPr>
      </w:pPr>
      <w:r>
        <w:rPr>
          <w:rFonts w:hint="eastAsia" w:ascii="Times New Roman" w:hAnsi="Times New Roman" w:eastAsia="方正仿宋_GBK" w:cs="Times New Roman"/>
          <w:sz w:val="24"/>
          <w:szCs w:val="24"/>
        </w:rPr>
        <w:t>供试品色谱中应呈现7个特征峰，其中峰1、峰5应分别与对照品参照物峰的保留时间相对应，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以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与4-香豆酸参照物峰相应的峰为S峰，计算各特征峰与S峰的相对保留时间，其相对保留时间应在规定值的±10%之内。规定值为：0.71（峰2）、0.78（峰3）、0.91（峰4）、1.13（峰6）、1.37（峰7）。</w:t>
      </w:r>
    </w:p>
    <w:p>
      <w:pPr>
        <w:jc w:val="center"/>
        <w:rPr>
          <w:rFonts w:ascii="Times New Roman" w:hAnsi="Times New Roman" w:eastAsia="宋体" w:cs="Times New Roman"/>
          <w:kern w:val="21"/>
          <w:szCs w:val="21"/>
        </w:rPr>
      </w:pPr>
      <w:r>
        <w:rPr>
          <w:rFonts w:ascii="Times New Roman" w:hAnsi="Times New Roman" w:eastAsia="宋体" w:cs="Times New Roman"/>
          <w:kern w:val="21"/>
          <w:szCs w:val="21"/>
        </w:rPr>
        <w:drawing>
          <wp:inline distT="0" distB="0" distL="0" distR="0">
            <wp:extent cx="5400040" cy="2160270"/>
            <wp:effectExtent l="0" t="0" r="10160" b="3810"/>
            <wp:docPr id="2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05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16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3" w:firstLineChars="0"/>
        <w:jc w:val="center"/>
        <w:textAlignment w:val="auto"/>
        <w:rPr>
          <w:rFonts w:hint="eastAsia" w:ascii="Times New Roman" w:hAnsi="Times New Roman" w:eastAsia="方正仿宋_GBK" w:cs="Times New Roman"/>
          <w:b/>
          <w:sz w:val="21"/>
          <w:szCs w:val="21"/>
        </w:rPr>
      </w:pPr>
      <w:r>
        <w:rPr>
          <w:rFonts w:hint="eastAsia" w:ascii="Times New Roman" w:hAnsi="Times New Roman" w:eastAsia="方正仿宋_GBK" w:cs="Times New Roman"/>
          <w:b/>
          <w:sz w:val="21"/>
          <w:szCs w:val="21"/>
        </w:rPr>
        <w:t>对照特征图谱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3" w:firstLineChars="0"/>
        <w:jc w:val="center"/>
        <w:textAlignment w:val="auto"/>
        <w:rPr>
          <w:rFonts w:hint="eastAsia" w:ascii="Times New Roman" w:hAnsi="Times New Roman" w:eastAsia="方正仿宋_GBK" w:cs="Times New Roman"/>
          <w:b/>
          <w:sz w:val="21"/>
          <w:szCs w:val="21"/>
        </w:rPr>
      </w:pPr>
      <w:r>
        <w:rPr>
          <w:rFonts w:hint="eastAsia" w:ascii="Times New Roman" w:hAnsi="Times New Roman" w:eastAsia="方正仿宋_GBK" w:cs="Times New Roman"/>
          <w:b/>
          <w:sz w:val="21"/>
          <w:szCs w:val="21"/>
        </w:rPr>
        <w:t>峰1：5-羟甲基糠醛；峰5（S）：4-香豆酸；峰6：阿魏酸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3" w:firstLineChars="0"/>
        <w:jc w:val="center"/>
        <w:textAlignment w:val="auto"/>
        <w:rPr>
          <w:rFonts w:hint="eastAsia" w:ascii="Times New Roman" w:hAnsi="Times New Roman" w:eastAsia="方正仿宋_GBK" w:cs="Times New Roman"/>
          <w:b/>
          <w:sz w:val="21"/>
          <w:szCs w:val="21"/>
        </w:rPr>
      </w:pPr>
      <w:r>
        <w:rPr>
          <w:rFonts w:hint="eastAsia" w:ascii="Times New Roman" w:hAnsi="Times New Roman" w:eastAsia="方正仿宋_GBK" w:cs="Times New Roman"/>
          <w:b/>
          <w:sz w:val="21"/>
          <w:szCs w:val="21"/>
        </w:rPr>
        <w:t>参考色谱柱：Wondasil C18，4.6mm×250mm，5μm</w:t>
      </w:r>
    </w:p>
    <w:p>
      <w:pPr>
        <w:spacing w:line="360" w:lineRule="auto"/>
        <w:ind w:firstLine="480" w:firstLineChars="200"/>
        <w:rPr>
          <w:rFonts w:hint="eastAsia" w:ascii="Times New Roman" w:hAnsi="Times New Roman" w:eastAsia="方正仿宋_GBK" w:cs="Times New Roman"/>
          <w:sz w:val="24"/>
          <w:szCs w:val="24"/>
        </w:rPr>
      </w:pPr>
      <w:r>
        <w:rPr>
          <w:rFonts w:hint="eastAsia" w:ascii="方正黑体_GBK" w:hAnsi="黑体" w:eastAsia="方正黑体_GBK" w:cs="Times New Roman"/>
          <w:b w:val="0"/>
          <w:bCs/>
          <w:sz w:val="24"/>
          <w:szCs w:val="24"/>
        </w:rPr>
        <w:t>【检查】</w:t>
      </w:r>
      <w:r>
        <w:rPr>
          <w:rFonts w:hint="eastAsia" w:ascii="方正黑体_GBK" w:hAnsi="黑体" w:eastAsia="方正黑体_GBK" w:cs="Times New Roman"/>
          <w:b w:val="0"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应符合颗粒剂项下有关的各项规</w:t>
      </w:r>
      <w:bookmarkStart w:id="0" w:name="_GoBack"/>
      <w:bookmarkEnd w:id="0"/>
      <w:r>
        <w:rPr>
          <w:rFonts w:hint="eastAsia" w:ascii="Times New Roman" w:hAnsi="Times New Roman" w:eastAsia="方正仿宋_GBK" w:cs="Times New Roman"/>
          <w:sz w:val="24"/>
          <w:szCs w:val="24"/>
        </w:rPr>
        <w:t>定（中国药典2020年版 通则0104）。</w:t>
      </w:r>
    </w:p>
    <w:p>
      <w:pPr>
        <w:spacing w:line="360" w:lineRule="auto"/>
        <w:ind w:firstLine="480" w:firstLineChars="200"/>
        <w:rPr>
          <w:rFonts w:hint="eastAsia" w:ascii="Times New Roman" w:hAnsi="Times New Roman" w:eastAsia="方正仿宋_GBK" w:cs="Times New Roman"/>
          <w:sz w:val="24"/>
          <w:szCs w:val="24"/>
        </w:rPr>
      </w:pPr>
      <w:r>
        <w:rPr>
          <w:rFonts w:hint="eastAsia" w:ascii="方正黑体_GBK" w:hAnsi="黑体" w:eastAsia="方正黑体_GBK" w:cs="Times New Roman"/>
          <w:b w:val="0"/>
          <w:bCs/>
          <w:sz w:val="24"/>
          <w:szCs w:val="24"/>
        </w:rPr>
        <w:t>【浸出物】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照醇溶性浸出物测定法（中国药典2020年版 通则2201）项下的热浸法测定，用乙醇作溶剂，不得少于4.0%。</w:t>
      </w:r>
    </w:p>
    <w:p>
      <w:pPr>
        <w:spacing w:line="360" w:lineRule="auto"/>
        <w:ind w:firstLine="480" w:firstLineChars="200"/>
        <w:rPr>
          <w:rFonts w:hint="eastAsia" w:ascii="Times New Roman" w:hAnsi="Times New Roman" w:eastAsia="方正仿宋_GBK" w:cs="Times New Roman"/>
          <w:sz w:val="24"/>
          <w:szCs w:val="24"/>
        </w:rPr>
      </w:pPr>
      <w:r>
        <w:rPr>
          <w:rFonts w:hint="eastAsia" w:ascii="方正黑体_GBK" w:hAnsi="黑体" w:eastAsia="方正黑体_GBK" w:cs="Times New Roman"/>
          <w:b w:val="0"/>
          <w:bCs/>
          <w:sz w:val="24"/>
          <w:szCs w:val="24"/>
        </w:rPr>
        <w:t>【含量测定】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照高效液相色谱法（中国药典2020年版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通则0512）测定。</w:t>
      </w:r>
    </w:p>
    <w:p>
      <w:pPr>
        <w:spacing w:line="360" w:lineRule="auto"/>
        <w:ind w:firstLine="482" w:firstLineChars="200"/>
        <w:rPr>
          <w:rFonts w:hint="eastAsia" w:ascii="Times New Roman" w:hAnsi="Times New Roman" w:eastAsia="方正仿宋_GBK" w:cs="Times New Roman"/>
          <w:sz w:val="24"/>
          <w:szCs w:val="24"/>
        </w:rPr>
      </w:pPr>
      <w:r>
        <w:rPr>
          <w:rFonts w:hint="eastAsia" w:ascii="方正仿宋_GBK" w:hAnsi="黑体" w:eastAsia="方正仿宋_GBK" w:cs="Times New Roman"/>
          <w:b/>
          <w:sz w:val="24"/>
          <w:szCs w:val="24"/>
          <w:lang w:val="en-US" w:eastAsia="zh-CN"/>
        </w:rPr>
        <w:t>色谱条件与系统适用性试验</w:t>
      </w:r>
      <w:r>
        <w:rPr>
          <w:rFonts w:ascii="Times New Roman" w:hAnsi="Times New Roman" w:eastAsia="宋体" w:cs="Times New Roman"/>
          <w:b/>
          <w:kern w:val="24"/>
          <w:sz w:val="24"/>
        </w:rPr>
        <w:t xml:space="preserve"> 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以十八烷基硅烷键合硅胶为填充剂（柱长为250mm，内径为4.6mm，粒径为5μm）；以乙腈为流动相A，0.5%乙酸为流动相B，按下表中的规定进行梯度洗脱；流速为每分钟0.8ml；柱温为30℃；检测波长为300nm。理论板数按4-香豆酸峰计算应不低于10000。</w:t>
      </w:r>
    </w:p>
    <w:tbl>
      <w:tblPr>
        <w:tblStyle w:val="5"/>
        <w:tblW w:w="8505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2835"/>
        <w:gridCol w:w="283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835" w:type="dxa"/>
            <w:tcBorders>
              <w:top w:val="single" w:color="auto" w:sz="12" w:space="0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时间（分钟）</w:t>
            </w:r>
          </w:p>
        </w:tc>
        <w:tc>
          <w:tcPr>
            <w:tcW w:w="2835" w:type="dxa"/>
            <w:tcBorders>
              <w:top w:val="single" w:color="auto" w:sz="12" w:space="0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流动相A(%)</w:t>
            </w:r>
          </w:p>
        </w:tc>
        <w:tc>
          <w:tcPr>
            <w:tcW w:w="2835" w:type="dxa"/>
            <w:tcBorders>
              <w:top w:val="single" w:color="auto" w:sz="12" w:space="0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流动相B（%）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0～15</w:t>
            </w: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5→10</w:t>
            </w: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95→90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15～17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10→14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90→86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17～50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14→20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86→80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835" w:type="dxa"/>
            <w:tcBorders>
              <w:top w:val="nil"/>
              <w:left w:val="nil"/>
              <w:bottom w:val="single" w:color="auto" w:sz="12" w:space="0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50～60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12" w:space="0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20→22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12" w:space="0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80→78</w:t>
            </w:r>
          </w:p>
        </w:tc>
      </w:tr>
    </w:tbl>
    <w:p>
      <w:pPr>
        <w:spacing w:line="360" w:lineRule="auto"/>
        <w:ind w:firstLine="482" w:firstLineChars="200"/>
        <w:rPr>
          <w:rFonts w:hint="eastAsia" w:ascii="Times New Roman" w:hAnsi="Times New Roman" w:eastAsia="方正仿宋_GBK" w:cs="Times New Roman"/>
          <w:sz w:val="24"/>
          <w:szCs w:val="24"/>
        </w:rPr>
      </w:pPr>
      <w:r>
        <w:rPr>
          <w:rFonts w:hint="eastAsia" w:ascii="方正仿宋_GBK" w:hAnsi="黑体" w:eastAsia="方正仿宋_GBK" w:cs="Times New Roman"/>
          <w:b/>
          <w:sz w:val="24"/>
          <w:szCs w:val="24"/>
          <w:lang w:val="en-US" w:eastAsia="zh-CN"/>
        </w:rPr>
        <w:t>对照品溶液的制备</w:t>
      </w:r>
      <w:r>
        <w:rPr>
          <w:rFonts w:ascii="Times New Roman" w:hAnsi="Times New Roman" w:eastAsia="宋体" w:cs="Times New Roman"/>
          <w:b/>
          <w:kern w:val="24"/>
          <w:sz w:val="24"/>
        </w:rPr>
        <w:t xml:space="preserve"> 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取4-香豆酸对照品适量，精密称定，加70%乙醇制成每1ml含30μg的溶液，即得。</w:t>
      </w:r>
    </w:p>
    <w:p>
      <w:pPr>
        <w:spacing w:line="360" w:lineRule="auto"/>
        <w:ind w:firstLine="482" w:firstLineChars="200"/>
        <w:rPr>
          <w:rFonts w:hint="eastAsia" w:ascii="Times New Roman" w:hAnsi="Times New Roman" w:eastAsia="方正仿宋_GBK" w:cs="Times New Roman"/>
          <w:sz w:val="24"/>
          <w:szCs w:val="24"/>
        </w:rPr>
      </w:pPr>
      <w:r>
        <w:rPr>
          <w:rFonts w:hint="eastAsia" w:ascii="方正仿宋_GBK" w:hAnsi="黑体" w:eastAsia="方正仿宋_GBK" w:cs="Times New Roman"/>
          <w:b/>
          <w:sz w:val="24"/>
          <w:szCs w:val="24"/>
          <w:lang w:val="en-US" w:eastAsia="zh-CN"/>
        </w:rPr>
        <w:t xml:space="preserve">供试品溶液的制备 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取本品适量，研细，取约1g，精密称定，置具塞锥形瓶中，精密加入70%乙醇50ml，密塞，称定重量，加热回流40分钟，取出，放冷，再称定重量，用70%乙醇补足减失的重量，滤过，精密量取滤液25mL，蒸干，残渣加70%乙醇溶解，转移至5ml容量瓶中，用70%乙醇至刻度，摇匀，滤过，取续滤液，即得。</w:t>
      </w:r>
    </w:p>
    <w:p>
      <w:pPr>
        <w:spacing w:line="360" w:lineRule="auto"/>
        <w:ind w:firstLine="482" w:firstLineChars="200"/>
        <w:rPr>
          <w:rFonts w:hint="eastAsia" w:ascii="Times New Roman" w:hAnsi="Times New Roman" w:eastAsia="方正仿宋_GBK" w:cs="Times New Roman"/>
          <w:sz w:val="24"/>
          <w:szCs w:val="24"/>
        </w:rPr>
      </w:pPr>
      <w:r>
        <w:rPr>
          <w:rFonts w:hint="eastAsia" w:ascii="方正仿宋_GBK" w:hAnsi="黑体" w:eastAsia="方正仿宋_GBK" w:cs="Times New Roman"/>
          <w:b/>
          <w:sz w:val="24"/>
          <w:szCs w:val="24"/>
          <w:lang w:val="en-US" w:eastAsia="zh-CN"/>
        </w:rPr>
        <w:t xml:space="preserve">测定法 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分别精密吸取对照品溶液与供试品溶液各10μl，注入液相色谱仪，测定，即得。</w:t>
      </w:r>
    </w:p>
    <w:p>
      <w:pPr>
        <w:spacing w:line="360" w:lineRule="auto"/>
        <w:ind w:firstLine="480" w:firstLineChars="200"/>
        <w:rPr>
          <w:rFonts w:hint="eastAsia" w:ascii="Times New Roman" w:hAnsi="Times New Roman" w:eastAsia="方正仿宋_GBK" w:cs="Times New Roman"/>
          <w:sz w:val="24"/>
          <w:szCs w:val="24"/>
        </w:rPr>
      </w:pPr>
      <w:r>
        <w:rPr>
          <w:rFonts w:hint="eastAsia" w:ascii="Times New Roman" w:hAnsi="Times New Roman" w:eastAsia="方正仿宋_GBK" w:cs="Times New Roman"/>
          <w:sz w:val="24"/>
          <w:szCs w:val="24"/>
        </w:rPr>
        <w:t>本品每1g含4-香豆酸（C</w:t>
      </w:r>
      <w:r>
        <w:rPr>
          <w:rFonts w:hint="eastAsia" w:ascii="Times New Roman" w:hAnsi="Times New Roman" w:eastAsia="方正仿宋_GBK" w:cs="Times New Roman"/>
          <w:sz w:val="24"/>
          <w:szCs w:val="24"/>
          <w:vertAlign w:val="subscript"/>
        </w:rPr>
        <w:t>9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H</w:t>
      </w:r>
      <w:r>
        <w:rPr>
          <w:rFonts w:hint="eastAsia" w:ascii="Times New Roman" w:hAnsi="Times New Roman" w:eastAsia="方正仿宋_GBK" w:cs="Times New Roman"/>
          <w:sz w:val="24"/>
          <w:szCs w:val="24"/>
          <w:vertAlign w:val="subscript"/>
        </w:rPr>
        <w:t>8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O</w:t>
      </w:r>
      <w:r>
        <w:rPr>
          <w:rFonts w:hint="eastAsia" w:ascii="Times New Roman" w:hAnsi="Times New Roman" w:eastAsia="方正仿宋_GBK" w:cs="Times New Roman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）应为0.200mg~0.400mg。</w:t>
      </w:r>
    </w:p>
    <w:p>
      <w:pPr>
        <w:spacing w:line="360" w:lineRule="auto"/>
        <w:ind w:firstLine="480" w:firstLineChars="200"/>
        <w:rPr>
          <w:rFonts w:hint="eastAsia" w:ascii="Times New Roman" w:hAnsi="Times New Roman" w:eastAsia="方正仿宋_GBK" w:cs="Times New Roman"/>
          <w:sz w:val="24"/>
          <w:szCs w:val="24"/>
        </w:rPr>
      </w:pPr>
      <w:r>
        <w:rPr>
          <w:rFonts w:hint="eastAsia" w:ascii="方正黑体_GBK" w:hAnsi="黑体" w:eastAsia="方正黑体_GBK" w:cs="Times New Roman"/>
          <w:b w:val="0"/>
          <w:bCs/>
          <w:sz w:val="24"/>
          <w:szCs w:val="24"/>
        </w:rPr>
        <w:t>【规格】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每1g配方颗粒相当于饮片8.3g</w:t>
      </w:r>
    </w:p>
    <w:p>
      <w:pPr>
        <w:ind w:firstLine="480"/>
        <w:rPr>
          <w:rFonts w:hint="eastAsia" w:ascii="Times New Roman" w:hAnsi="Times New Roman" w:eastAsia="方正仿宋_GBK" w:cs="Times New Roman"/>
          <w:sz w:val="24"/>
          <w:szCs w:val="24"/>
        </w:rPr>
      </w:pPr>
      <w:r>
        <w:rPr>
          <w:rFonts w:hint="eastAsia" w:ascii="方正黑体_GBK" w:hAnsi="黑体" w:eastAsia="方正黑体_GBK" w:cs="Times New Roman"/>
          <w:b w:val="0"/>
          <w:bCs/>
          <w:sz w:val="24"/>
          <w:szCs w:val="24"/>
        </w:rPr>
        <w:t>【贮藏】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密封。</w:t>
      </w:r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ind w:left="0" w:leftChars="0" w:firstLine="0" w:firstLineChars="0"/>
                            <w:rPr>
                              <w:rFonts w:hint="eastAsia" w:eastAsia="宋体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t>-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instrText xml:space="preserve"> PAGE 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  <w:lang w:val="zh-CN"/>
                            </w:rPr>
                            <w:t>-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t xml:space="preserve"> 1 -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t>-</w:t>
                          </w:r>
                        </w:p>
                        <w:p>
                          <w:pPr>
                            <w:pStyle w:val="3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ind w:left="0" w:leftChars="0" w:firstLine="0" w:firstLineChars="0"/>
                      <w:rPr>
                        <w:rFonts w:hint="eastAsia" w:eastAsia="宋体"/>
                        <w:lang w:val="en-US" w:eastAsia="zh-CN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21"/>
                        <w:szCs w:val="21"/>
                        <w:lang w:val="en-US" w:eastAsia="zh-CN"/>
                      </w:rPr>
                      <w:t>-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instrText xml:space="preserve"> PAGE 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  <w:lang w:val="zh-CN"/>
                      </w:rPr>
                      <w:t>-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t xml:space="preserve"> 1 -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21"/>
                        <w:szCs w:val="21"/>
                        <w:lang w:val="en-US" w:eastAsia="zh-CN"/>
                      </w:rPr>
                      <w:t>-</w:t>
                    </w:r>
                  </w:p>
                  <w:p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  <w:r>
      <w:rPr>
        <w:sz w:val="18"/>
      </w:rPr>
      <w:pict>
        <v:shape id="PowerPlusWaterMarkObject14076" o:spid="_x0000_s3073" o:spt="136" type="#_x0000_t136" style="position:absolute;left:0pt;height:50.1pt;width:537.15pt;mso-position-horizontal:center;mso-position-horizontal-relative:margin;mso-position-vertical:center;mso-position-vertical-relative:margin;rotation:-2949120f;z-index:-251657216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云南省中药配方颗粒标准公示稿" style="font-family:微软雅黑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RlZTMxYjRhMTA0MzYxZTFkZjUzNjJjZWU5YThjMjUifQ=="/>
  </w:docVars>
  <w:rsids>
    <w:rsidRoot w:val="00293E25"/>
    <w:rsid w:val="00102E84"/>
    <w:rsid w:val="001D3358"/>
    <w:rsid w:val="00293E25"/>
    <w:rsid w:val="005824BC"/>
    <w:rsid w:val="00601569"/>
    <w:rsid w:val="00611E0C"/>
    <w:rsid w:val="00921DF7"/>
    <w:rsid w:val="00AE1C56"/>
    <w:rsid w:val="00AF3CD8"/>
    <w:rsid w:val="00CF39F1"/>
    <w:rsid w:val="00E8324E"/>
    <w:rsid w:val="00F71124"/>
    <w:rsid w:val="04A50EF5"/>
    <w:rsid w:val="0FBF6DE6"/>
    <w:rsid w:val="18506C2F"/>
    <w:rsid w:val="1AAA6B80"/>
    <w:rsid w:val="5D33021C"/>
    <w:rsid w:val="68933FB5"/>
    <w:rsid w:val="74075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ind w:firstLine="0" w:firstLineChars="0"/>
      <w:jc w:val="center"/>
      <w:outlineLvl w:val="0"/>
    </w:pPr>
    <w:rPr>
      <w:rFonts w:ascii="Times New Roman" w:hAnsi="Times New Roman" w:eastAsia="宋体" w:cs="Times New Roman"/>
      <w:b/>
      <w:bCs/>
      <w:kern w:val="44"/>
      <w:sz w:val="28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1250</Words>
  <Characters>1514</Characters>
  <Lines>11</Lines>
  <Paragraphs>3</Paragraphs>
  <TotalTime>1</TotalTime>
  <ScaleCrop>false</ScaleCrop>
  <LinksUpToDate>false</LinksUpToDate>
  <CharactersWithSpaces>1531</CharactersWithSpaces>
  <Application>WPS Office_11.1.0.13607_F1E327BC-269C-435d-A152-05C5408002CA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2022-03-19T07:17:00Z</dcterms:created>
  <dc:creator>Mr.Ch</dc:creator>
  <cp:lastModifiedBy>峨眉神蛙</cp:lastModifiedBy>
  <dcterms:modified xsi:type="dcterms:W3CDTF">2022-12-02T08:49:48Z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2052-11.1.0.13607</vt:lpwstr>
  </property>
  <property fmtid="{D5CDD505-2E9C-101B-9397-08002B2CF9AE}" pid="3" name="ICV">
    <vt:lpwstr>B10E7EEFBE284B5781D3612162F8AF55</vt:lpwstr>
  </property>
</Properties>
</file>