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560" w:lineRule="exact"/>
        <w:ind w:firstLine="0" w:firstLineChars="0"/>
        <w:jc w:val="center"/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  <w:t>蜂房（日本长脚胡蜂）配方颗粒</w:t>
      </w:r>
    </w:p>
    <w:p>
      <w:pPr>
        <w:adjustRightInd/>
        <w:snapToGrid/>
        <w:spacing w:line="560" w:lineRule="exact"/>
        <w:ind w:firstLine="0" w:firstLineChars="0"/>
        <w:jc w:val="center"/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  <w:t>Fengfang (Ribenchangjiaohufeng) Peifangkeli</w:t>
      </w:r>
    </w:p>
    <w:p>
      <w:pPr>
        <w:spacing w:line="360" w:lineRule="auto"/>
        <w:ind w:firstLine="480" w:firstLineChars="200"/>
        <w:jc w:val="center"/>
        <w:rPr>
          <w:rFonts w:ascii="Times New Roman" w:hAnsi="Times New Roman" w:eastAsia="宋体" w:cs="Times New Roman"/>
          <w:color w:val="000000"/>
          <w:sz w:val="24"/>
          <w:szCs w:val="24"/>
        </w:rPr>
      </w:pP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【来源】</w:t>
      </w:r>
      <w:r>
        <w:rPr>
          <w:rFonts w:hint="eastAsia" w:ascii="Times New Roman" w:hAnsi="Times New Roman" w:eastAsia="黑体" w:cs="Times New Roman"/>
          <w:color w:val="000000"/>
          <w:szCs w:val="21"/>
        </w:rPr>
        <w:t xml:space="preserve">   </w:t>
      </w:r>
      <w:r>
        <w:rPr>
          <w:rFonts w:ascii="Times New Roman" w:hAnsi="Times New Roman" w:eastAsia="方正仿宋_GBK" w:cs="Times New Roman"/>
          <w:sz w:val="24"/>
          <w:szCs w:val="24"/>
        </w:rPr>
        <w:t>本品为胡蜂科昆虫日本长脚胡蜂</w:t>
      </w:r>
      <w:r>
        <w:rPr>
          <w:rFonts w:ascii="Times New Roman" w:hAnsi="Times New Roman" w:eastAsia="方正仿宋_GBK" w:cs="Times New Roman"/>
          <w:i/>
          <w:iCs/>
          <w:sz w:val="24"/>
          <w:szCs w:val="24"/>
        </w:rPr>
        <w:t>Polistes japonic</w:t>
      </w:r>
      <w:r>
        <w:rPr>
          <w:rFonts w:hint="eastAsia" w:ascii="Times New Roman" w:hAnsi="Times New Roman" w:eastAsia="方正仿宋_GBK" w:cs="Times New Roman"/>
          <w:i/>
          <w:iCs/>
          <w:sz w:val="24"/>
          <w:szCs w:val="24"/>
        </w:rPr>
        <w:t>u</w:t>
      </w:r>
      <w:r>
        <w:rPr>
          <w:rFonts w:ascii="Times New Roman" w:hAnsi="Times New Roman" w:eastAsia="方正仿宋_GBK" w:cs="Times New Roman"/>
          <w:i/>
          <w:iCs/>
          <w:sz w:val="24"/>
          <w:szCs w:val="24"/>
        </w:rPr>
        <w:t>s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Saussure的巢经炮制并按标准汤剂的主要质量指标加工制成的配方颗粒。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【制法】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</w:t>
      </w:r>
      <w:r>
        <w:rPr>
          <w:rFonts w:ascii="Times New Roman" w:hAnsi="Times New Roman" w:eastAsia="方正仿宋_GBK" w:cs="Times New Roman"/>
          <w:sz w:val="24"/>
          <w:szCs w:val="24"/>
        </w:rPr>
        <w:t>取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蜂房（日本长脚胡蜂）</w:t>
      </w:r>
      <w:r>
        <w:rPr>
          <w:rFonts w:ascii="Times New Roman" w:hAnsi="Times New Roman" w:eastAsia="方正仿宋_GBK" w:cs="Times New Roman"/>
          <w:sz w:val="24"/>
          <w:szCs w:val="24"/>
        </w:rPr>
        <w:t>饮片3300g，加水煎煮，滤过，滤液浓缩成清膏（干浸膏出膏率为15.5%~23.0%），加入辅料适量，干燥（或干燥，粉碎），再加入辅料适量，混匀，制粒，制成1000g，即得。</w:t>
      </w:r>
    </w:p>
    <w:p>
      <w:pPr>
        <w:snapToGrid w:val="0"/>
        <w:spacing w:line="360" w:lineRule="auto"/>
        <w:ind w:firstLine="480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【性状】</w:t>
      </w:r>
      <w:r>
        <w:rPr>
          <w:rFonts w:hint="eastAsia" w:ascii="Times New Roman" w:hAnsi="Times New Roman" w:eastAsia="黑体" w:cs="Times New Roman"/>
          <w:color w:val="000000"/>
          <w:szCs w:val="21"/>
        </w:rPr>
        <w:t xml:space="preserve"> </w:t>
      </w:r>
      <w:r>
        <w:rPr>
          <w:rFonts w:ascii="Times New Roman" w:hAnsi="Times New Roman" w:eastAsia="黑体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本品为黄棕色至棕褐色的颗粒；气微腥，味微苦。</w:t>
      </w:r>
    </w:p>
    <w:p>
      <w:pPr>
        <w:snapToGrid w:val="0"/>
        <w:spacing w:line="360" w:lineRule="auto"/>
        <w:ind w:firstLine="470" w:firstLineChars="196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【鉴别】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取本品适量，研细，取1g，加水20 ml，超声处理15分钟，摇匀，滤过，取续滤液，作为供试品溶液。另取蜂房（日本长脚胡蜂）对照药材3g，加水20ml，加热回流1小时，摇匀，滤过，取续滤液，作为对照药材溶液。再取〔含量测定〕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项下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对照品溶液，作为对照品溶液。照薄层色谱法（中国药典2020年版通则0502）试验，吸取上述三种溶液各2μl，分别点于同一硅胶GF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254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板上，以乙酸丁酯-甲酸-水（7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∶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2.7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∶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2.3）的上层溶液为展开剂，展开，取出，晾干，喷以3%三氯化铝乙醇溶液，在108℃下烘干，放冷，置紫外光灯（365 nm）下检视，供试品色谱中，在与对照药材和对照品色谱相应的位置上，显相同颜色的荧光斑点。</w:t>
      </w:r>
    </w:p>
    <w:p>
      <w:pPr>
        <w:snapToGrid w:val="0"/>
        <w:spacing w:line="360" w:lineRule="auto"/>
        <w:ind w:firstLine="480" w:firstLineChars="200"/>
        <w:contextualSpacing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【特征图谱】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照高效液相色谱法（中国药典2020年版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通则0512）测定。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contextualSpacing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色谱条件与系统适用性试验 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同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含量测定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]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项。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contextualSpacing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参照物溶液的制备</w:t>
      </w:r>
      <w:r>
        <w:rPr>
          <w:rFonts w:ascii="Times New Roman" w:hAnsi="Times New Roman" w:eastAsia="宋体" w:cs="Times New Roman"/>
          <w:b/>
          <w:bCs/>
          <w:szCs w:val="21"/>
        </w:rPr>
        <w:t xml:space="preserve"> 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取蜂房（日本长脚胡蜂）对照药材1g，加水20ml，称定重量，加热回流1小时，取出，放冷，摇匀，滤过，取续滤液，作为对照药材参照物溶液。另取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含量测定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]项下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对照品溶液，作为对照品参照物溶液。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供试品溶液的制备</w:t>
      </w:r>
      <w:r>
        <w:rPr>
          <w:rFonts w:hint="eastAsia" w:ascii="Times New Roman" w:hAnsi="Times New Roman" w:eastAsia="宋体" w:cs="Times New Roman"/>
          <w:b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/>
          <w:bCs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同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含量测定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]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项。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测定法</w:t>
      </w:r>
      <w:r>
        <w:rPr>
          <w:rFonts w:ascii="Times New Roman" w:hAnsi="Times New Roman" w:eastAsia="宋体" w:cs="Times New Roman"/>
          <w:b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b/>
          <w:bCs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分别精密吸取参照物溶液与供试品溶液各10μl，注入液相色谱仪，测定，即得。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供试品色谱中应呈现4个特征峰，并应与对照药材参照物色谱中的4个特征峰保留时间相对应，其中峰4应与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犬尿喹啉酸对照品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参照物峰保留时间相对应；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以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与犬尿喹啉酸参照物相对应的峰为S峰，计算峰1~峰3与S峰的相对保留时间，其相对保留时间应在规定值的±10%范围之内，规定值为：0.74（峰1）、0.80（峰2）、0.90（峰3）。</w:t>
      </w:r>
    </w:p>
    <w:p>
      <w:pPr>
        <w:adjustRightInd w:val="0"/>
        <w:snapToGrid w:val="0"/>
        <w:spacing w:line="360" w:lineRule="auto"/>
        <w:contextualSpacing/>
        <w:jc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5400040" cy="2122170"/>
            <wp:effectExtent l="0" t="0" r="10160" b="11430"/>
            <wp:docPr id="1" name="图片 1" descr="C:\Users\user\Desktop\166194414360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user\Desktop\1661944143608.jpg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9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2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对照特征图谱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峰3：黄尿酸；峰4（S）：犬尿喹啉酸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参考色谱柱：ZORBAX Eclipse Plus C18，4.6mm×250mm×5µm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【检查】</w:t>
      </w:r>
      <w:r>
        <w:rPr>
          <w:rFonts w:hint="eastAsia" w:ascii="Times New Roman" w:hAnsi="Times New Roman" w:eastAsia="黑体" w:cs="Times New Roman"/>
          <w:color w:val="000000"/>
          <w:szCs w:val="21"/>
        </w:rPr>
        <w:t xml:space="preserve"> </w:t>
      </w: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 黄曲霉毒素</w:t>
      </w:r>
      <w:r>
        <w:rPr>
          <w:rFonts w:hint="eastAsia" w:ascii="Times New Roman" w:hAnsi="Times New Roman" w:eastAsia="黑体" w:cs="Times New Roman"/>
          <w:color w:val="000000"/>
          <w:szCs w:val="21"/>
        </w:rPr>
        <w:t xml:space="preserve"> 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照真菌毒素测定法（中国药典2020年版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通则2351）测定。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本品每1000g含黄曲霉毒素B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不得过5μg；黄曲霉毒素G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、黄曲霉毒素G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、黄曲霉毒素B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和黄曲霉毒素B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的总量不得过10μg。</w:t>
      </w:r>
    </w:p>
    <w:p>
      <w:pPr>
        <w:snapToGrid w:val="0"/>
        <w:spacing w:line="360" w:lineRule="auto"/>
        <w:ind w:firstLine="472" w:firstLineChars="196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其他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应符合颗粒剂项下有关的各项规定（中国药典2020年版四部 通则0104）。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ind w:firstLine="480" w:firstLineChars="200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【浸出物】 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取本品研细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，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取约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2g，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精密称定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，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精密加入乙醇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100ml，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照醇溶性浸出物测定法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（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中国药典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2020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年版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通则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2201）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项下的热浸法测定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，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不得少于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9.0%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ind w:firstLine="480" w:firstLineChars="200"/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【含量测定】</w:t>
      </w:r>
      <w:r>
        <w:rPr>
          <w:rFonts w:ascii="Times New Roman" w:hAnsi="Times New Roman" w:eastAsia="宋体" w:cs="Times New Roman"/>
          <w:bCs/>
          <w:color w:val="000000"/>
          <w:szCs w:val="21"/>
        </w:rPr>
        <w:t xml:space="preserve">  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照高效液相色谱法（中国药典2020年版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通则0512）测定。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2" w:firstLineChars="200"/>
        <w:contextualSpacing/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色谱条件与系统适用性试验 </w:t>
      </w:r>
      <w:r>
        <w:rPr>
          <w:rFonts w:hint="eastAsia" w:ascii="Times New Roman" w:hAnsi="Times New Roman" w:eastAsia="宋体" w:cs="Times New Roman"/>
          <w:b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以十八烷基硅烷键合硅胶为填充剂；以乙腈为流动相A，0.01%磷酸水溶液为流动相B，按下表规定梯度进行洗脱；柱温为40℃；检测波长为240nm，理论板数按犬尿喹啉酸峰计算应不低于5000。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8"/>
        <w:gridCol w:w="2981"/>
        <w:gridCol w:w="32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77" w:type="pct"/>
            <w:tcBorders>
              <w:top w:val="single" w:color="auto" w:sz="12" w:space="0"/>
              <w:left w:val="nil"/>
              <w:bottom w:val="single" w:color="000000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时间（分钟）</w:t>
            </w:r>
          </w:p>
        </w:tc>
        <w:tc>
          <w:tcPr>
            <w:tcW w:w="1645" w:type="pct"/>
            <w:tcBorders>
              <w:top w:val="single" w:color="auto" w:sz="12" w:space="0"/>
              <w:left w:val="nil"/>
              <w:bottom w:val="single" w:color="000000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流动相A（%）</w:t>
            </w:r>
          </w:p>
        </w:tc>
        <w:tc>
          <w:tcPr>
            <w:tcW w:w="1776" w:type="pct"/>
            <w:tcBorders>
              <w:top w:val="single" w:color="auto" w:sz="12" w:space="0"/>
              <w:left w:val="nil"/>
              <w:bottom w:val="single" w:color="000000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0~12</w:t>
            </w:r>
          </w:p>
        </w:tc>
        <w:tc>
          <w:tcPr>
            <w:tcW w:w="16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12~18</w:t>
            </w:r>
          </w:p>
        </w:tc>
        <w:tc>
          <w:tcPr>
            <w:tcW w:w="16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→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98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→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18~40</w:t>
            </w:r>
          </w:p>
        </w:tc>
        <w:tc>
          <w:tcPr>
            <w:tcW w:w="16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→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95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→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40~45</w:t>
            </w:r>
          </w:p>
        </w:tc>
        <w:tc>
          <w:tcPr>
            <w:tcW w:w="16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→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88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→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45~48</w:t>
            </w:r>
          </w:p>
        </w:tc>
        <w:tc>
          <w:tcPr>
            <w:tcW w:w="16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40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→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60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→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77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48~55</w:t>
            </w:r>
          </w:p>
        </w:tc>
        <w:tc>
          <w:tcPr>
            <w:tcW w:w="1645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76" w:type="pct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98</w:t>
            </w:r>
          </w:p>
        </w:tc>
      </w:tr>
    </w:tbl>
    <w:p>
      <w:pPr>
        <w:snapToGrid w:val="0"/>
        <w:spacing w:before="156" w:beforeLines="50" w:line="360" w:lineRule="auto"/>
        <w:ind w:firstLine="482" w:firstLineChars="200"/>
        <w:contextualSpacing/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对照品溶液的制备</w:t>
      </w:r>
      <w:r>
        <w:rPr>
          <w:rFonts w:ascii="Times New Roman" w:hAnsi="Times New Roman" w:eastAsia="宋体" w:cs="Times New Roman"/>
          <w:bCs/>
          <w:color w:val="000000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 xml:space="preserve"> 取犬尿喹啉酸对照品适量，精密称定，加0.1%氨水制成每1ml含35μg的溶液，即得。</w:t>
      </w:r>
    </w:p>
    <w:p>
      <w:pPr>
        <w:snapToGrid w:val="0"/>
        <w:spacing w:line="360" w:lineRule="auto"/>
        <w:ind w:firstLine="482" w:firstLineChars="200"/>
        <w:contextualSpacing/>
        <w:jc w:val="left"/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供试品溶液的制备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取本品适量，研细，取约0.5g，精密称定，置锥形瓶中，加水20ml，超声处理（功率250W，频率40kHz）15分钟，摇匀，滤过，取续滤液，即得。</w:t>
      </w:r>
    </w:p>
    <w:p>
      <w:pPr>
        <w:snapToGrid w:val="0"/>
        <w:spacing w:line="360" w:lineRule="auto"/>
        <w:ind w:firstLine="482" w:firstLineChars="200"/>
        <w:contextualSpacing/>
        <w:jc w:val="left"/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测定法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分别精密吸取对照品溶液与供试品溶液各10 µl，注入液相色谱仪，测定，即得。</w:t>
      </w:r>
    </w:p>
    <w:p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</w:pP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本品每1g含犬尿喹啉酸（C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  <w:lang w:val="zh-CN"/>
        </w:rPr>
        <w:t>10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H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  <w:lang w:val="zh-CN"/>
        </w:rPr>
        <w:t>7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NO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  <w:lang w:val="zh-CN"/>
        </w:rPr>
        <w:t>3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baseline"/>
          <w:lang w:val="zh-CN"/>
        </w:rPr>
        <w:t>）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的含量应为0.8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mg~3.0mg。</w:t>
      </w:r>
    </w:p>
    <w:p>
      <w:pPr>
        <w:snapToGrid w:val="0"/>
        <w:spacing w:line="360" w:lineRule="auto"/>
        <w:ind w:firstLine="480" w:firstLineChars="200"/>
        <w:contextualSpacing/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【规格】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>每1g配方颗粒相当于饮片3.3g</w:t>
      </w:r>
    </w:p>
    <w:p>
      <w:pPr>
        <w:ind w:firstLine="480" w:firstLineChars="200"/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【贮藏】 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/>
        </w:rPr>
        <w:t xml:space="preserve"> 密封。</w:t>
      </w: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2098" w:right="1474" w:bottom="1984" w:left="1587" w:header="851" w:footer="992" w:gutter="0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val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val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1 -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Times New Roman" w:hAnsi="Times New Roman" w:cs="Times New Roman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val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Times New Roman" w:hAnsi="Times New Roman" w:cs="Times New Roman" w:eastAsiaTheme="minorEastAsia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val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1 -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PowerPlusWaterMarkObject14076" o:spid="_x0000_s4098" o:spt="136" type="#_x0000_t136" style="position:absolute;left:0pt;height:50.1pt;width:537.15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云南省中药配方颗粒标准公示稿" style="font-family:微软雅黑;font-size:36pt;v-same-letter-heights:f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ind w:left="0" w:leftChars="0" w:firstLine="0" w:firstLineChars="0"/>
      <w:jc w:val="left"/>
      <w:rPr>
        <w:rFonts w:hint="eastAsia" w:ascii="Times New Roman" w:hAnsi="Times New Roman" w:eastAsia="方正楷体_GBK" w:cs="Times New Roman"/>
        <w:kern w:val="2"/>
        <w:sz w:val="32"/>
        <w:szCs w:val="32"/>
        <w:u w:val="single"/>
        <w:lang w:val="en-US" w:eastAsia="zh-CN" w:bidi="ar-SA"/>
      </w:rPr>
    </w:pPr>
    <w:r>
      <w:rPr>
        <w:sz w:val="18"/>
      </w:rPr>
      <w:pict>
        <v:shape id="_x0000_s4097" o:spid="_x0000_s4097" o:spt="136" type="#_x0000_t136" style="position:absolute;left:0pt;height:50.1pt;width:537.15pt;mso-position-horizontal:center;mso-position-horizontal-relative:margin;mso-position-vertical:center;mso-position-vertical-relative:margin;rotation:-2949120f;z-index:-251654144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云南省中药配方颗粒标准公示稿" style="font-family:微软雅黑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lZTMxYjRhMTA0MzYxZTFkZjUzNjJjZWU5YThjMjUifQ=="/>
  </w:docVars>
  <w:rsids>
    <w:rsidRoot w:val="17A01D1B"/>
    <w:rsid w:val="08655B97"/>
    <w:rsid w:val="0A324AD7"/>
    <w:rsid w:val="0D1F336B"/>
    <w:rsid w:val="17A01D1B"/>
    <w:rsid w:val="1CA66657"/>
    <w:rsid w:val="216D1AE3"/>
    <w:rsid w:val="23E25234"/>
    <w:rsid w:val="2F736F4A"/>
    <w:rsid w:val="3207249C"/>
    <w:rsid w:val="34D942EE"/>
    <w:rsid w:val="42764AD5"/>
    <w:rsid w:val="43106CD7"/>
    <w:rsid w:val="43ED5742"/>
    <w:rsid w:val="47154607"/>
    <w:rsid w:val="4BD43CE5"/>
    <w:rsid w:val="4F7068E5"/>
    <w:rsid w:val="61007F33"/>
    <w:rsid w:val="72331F17"/>
    <w:rsid w:val="73500125"/>
    <w:rsid w:val="7731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7/relationships/hdphoto" Target="media/image2.wdp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1385</Words>
  <Characters>1686</Characters>
  <Lines>0</Lines>
  <Paragraphs>0</Paragraphs>
  <TotalTime>3</TotalTime>
  <ScaleCrop>false</ScaleCrop>
  <LinksUpToDate>false</LinksUpToDate>
  <CharactersWithSpaces>1742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2022-11-18T02:36:00Z</dcterms:created>
  <dc:creator>峨眉神蛙</dc:creator>
  <cp:lastModifiedBy>峨眉神蛙</cp:lastModifiedBy>
  <dcterms:modified xsi:type="dcterms:W3CDTF">2022-12-02T07:41:40Z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CD58B144A76F44CA81232CE94E56F28E</vt:lpwstr>
  </property>
</Properties>
</file>