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bCs/>
          <w:sz w:val="44"/>
          <w:szCs w:val="44"/>
        </w:rPr>
      </w:pPr>
      <w:bookmarkStart w:id="0" w:name="_GoBack"/>
      <w:r>
        <w:rPr>
          <w:rFonts w:hint="eastAsia" w:ascii="方正小标宋简体" w:hAnsi="宋体" w:eastAsia="方正小标宋简体" w:cs="宋体"/>
          <w:bCs/>
          <w:sz w:val="44"/>
          <w:szCs w:val="44"/>
        </w:rPr>
        <w:t>吉林省深化医药卫生体制改革2022年重点工作任务台账</w:t>
      </w:r>
      <w:bookmarkEnd w:id="0"/>
    </w:p>
    <w:tbl>
      <w:tblPr>
        <w:tblStyle w:val="5"/>
        <w:tblW w:w="12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02"/>
        <w:gridCol w:w="7419"/>
        <w:gridCol w:w="1541"/>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30" w:type="dxa"/>
            <w:noWrap w:val="0"/>
            <w:vAlign w:val="center"/>
          </w:tcPr>
          <w:p>
            <w:pPr>
              <w:widowControl/>
              <w:ind w:left="-63" w:leftChars="-30" w:right="-63" w:rightChars="-30"/>
              <w:jc w:val="center"/>
              <w:rPr>
                <w:rFonts w:hint="eastAsia" w:ascii="黑体" w:hAnsi="黑体" w:eastAsia="黑体" w:cs="宋体"/>
                <w:bCs/>
                <w:kern w:val="0"/>
                <w:sz w:val="24"/>
              </w:rPr>
            </w:pPr>
            <w:r>
              <w:rPr>
                <w:rFonts w:hint="eastAsia" w:ascii="黑体" w:hAnsi="黑体" w:eastAsia="黑体" w:cs="宋体"/>
                <w:bCs/>
                <w:kern w:val="0"/>
                <w:sz w:val="24"/>
              </w:rPr>
              <w:t>序号</w:t>
            </w:r>
          </w:p>
        </w:tc>
        <w:tc>
          <w:tcPr>
            <w:tcW w:w="1302" w:type="dxa"/>
            <w:noWrap w:val="0"/>
            <w:vAlign w:val="center"/>
          </w:tcPr>
          <w:p>
            <w:pPr>
              <w:widowControl/>
              <w:ind w:left="-30" w:right="-30"/>
              <w:jc w:val="center"/>
              <w:rPr>
                <w:rFonts w:hint="eastAsia" w:ascii="黑体" w:hAnsi="黑体" w:eastAsia="黑体" w:cs="宋体"/>
                <w:bCs/>
                <w:kern w:val="0"/>
                <w:sz w:val="24"/>
              </w:rPr>
            </w:pPr>
            <w:r>
              <w:rPr>
                <w:rFonts w:hint="eastAsia" w:ascii="黑体" w:hAnsi="黑体" w:eastAsia="黑体" w:cs="宋体"/>
                <w:bCs/>
                <w:kern w:val="0"/>
                <w:sz w:val="24"/>
              </w:rPr>
              <w:t>重点任务</w:t>
            </w:r>
          </w:p>
        </w:tc>
        <w:tc>
          <w:tcPr>
            <w:tcW w:w="7419" w:type="dxa"/>
            <w:noWrap w:val="0"/>
            <w:vAlign w:val="center"/>
          </w:tcPr>
          <w:p>
            <w:pPr>
              <w:widowControl/>
              <w:ind w:left="-30" w:right="-30"/>
              <w:jc w:val="center"/>
              <w:rPr>
                <w:rFonts w:hint="eastAsia" w:ascii="黑体" w:hAnsi="黑体" w:eastAsia="黑体" w:cs="宋体"/>
                <w:bCs/>
                <w:kern w:val="0"/>
                <w:sz w:val="24"/>
              </w:rPr>
            </w:pPr>
            <w:r>
              <w:rPr>
                <w:rFonts w:hint="eastAsia" w:ascii="黑体" w:hAnsi="黑体" w:eastAsia="黑体" w:cs="宋体"/>
                <w:bCs/>
                <w:kern w:val="0"/>
                <w:sz w:val="24"/>
              </w:rPr>
              <w:t>具  体  工  作</w:t>
            </w:r>
          </w:p>
        </w:tc>
        <w:tc>
          <w:tcPr>
            <w:tcW w:w="1541" w:type="dxa"/>
            <w:noWrap w:val="0"/>
            <w:vAlign w:val="center"/>
          </w:tcPr>
          <w:p>
            <w:pPr>
              <w:widowControl/>
              <w:ind w:left="-30" w:right="-30"/>
              <w:jc w:val="center"/>
              <w:rPr>
                <w:rFonts w:hint="eastAsia" w:ascii="黑体" w:hAnsi="黑体" w:eastAsia="黑体" w:cs="宋体"/>
                <w:bCs/>
                <w:kern w:val="0"/>
                <w:sz w:val="24"/>
              </w:rPr>
            </w:pPr>
            <w:r>
              <w:rPr>
                <w:rFonts w:hint="eastAsia" w:ascii="黑体" w:hAnsi="黑体" w:eastAsia="黑体" w:cs="宋体"/>
                <w:bCs/>
                <w:kern w:val="0"/>
                <w:sz w:val="24"/>
              </w:rPr>
              <w:t>牵头部门</w:t>
            </w:r>
          </w:p>
        </w:tc>
        <w:tc>
          <w:tcPr>
            <w:tcW w:w="1909" w:type="dxa"/>
            <w:noWrap w:val="0"/>
            <w:vAlign w:val="center"/>
          </w:tcPr>
          <w:p>
            <w:pPr>
              <w:widowControl/>
              <w:ind w:left="-30" w:right="-30"/>
              <w:jc w:val="center"/>
              <w:rPr>
                <w:rFonts w:hint="eastAsia" w:ascii="黑体" w:hAnsi="黑体" w:eastAsia="黑体" w:cs="宋体"/>
                <w:bCs/>
                <w:kern w:val="0"/>
                <w:sz w:val="24"/>
              </w:rPr>
            </w:pPr>
            <w:r>
              <w:rPr>
                <w:rFonts w:hint="eastAsia" w:ascii="黑体" w:hAnsi="黑体" w:eastAsia="黑体" w:cs="宋体"/>
                <w:bCs/>
                <w:kern w:val="0"/>
                <w:sz w:val="24"/>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restart"/>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1</w:t>
            </w:r>
          </w:p>
        </w:tc>
        <w:tc>
          <w:tcPr>
            <w:tcW w:w="1302" w:type="dxa"/>
            <w:vMerge w:val="restart"/>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发挥省级医院的辐射带动作用</w:t>
            </w:r>
          </w:p>
        </w:tc>
        <w:tc>
          <w:tcPr>
            <w:tcW w:w="741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加快推进吉林市、通化市、延边州3个省级区域医疗中心建设，完善体制机制。</w:t>
            </w:r>
          </w:p>
        </w:tc>
        <w:tc>
          <w:tcPr>
            <w:tcW w:w="1541" w:type="dxa"/>
            <w:noWrap w:val="0"/>
            <w:vAlign w:val="center"/>
          </w:tcPr>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省中医局、省发改委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42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引导省人民医院、一汽总医院、延边大学附属医院等省级高水平医院，支持省内西部和边境等医疗资源薄弱地区，持续推动优质医疗资源向县级延伸。</w:t>
            </w:r>
          </w:p>
        </w:tc>
        <w:tc>
          <w:tcPr>
            <w:tcW w:w="1541" w:type="dxa"/>
            <w:noWrap w:val="0"/>
            <w:vAlign w:val="center"/>
          </w:tcPr>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b/>
                <w:color w:val="auto"/>
                <w:szCs w:val="21"/>
              </w:rPr>
            </w:pPr>
            <w:r>
              <w:rPr>
                <w:rFonts w:hint="eastAsia" w:ascii="宋体" w:hAnsi="宋体" w:cs="宋体"/>
                <w:color w:val="auto"/>
                <w:kern w:val="0"/>
                <w:szCs w:val="21"/>
              </w:rPr>
              <w:t>省中医局、省发改委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restart"/>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2</w:t>
            </w:r>
          </w:p>
        </w:tc>
        <w:tc>
          <w:tcPr>
            <w:tcW w:w="1302" w:type="dxa"/>
            <w:vMerge w:val="restart"/>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提高地市和县级医院服务能力</w:t>
            </w:r>
          </w:p>
        </w:tc>
        <w:tc>
          <w:tcPr>
            <w:tcW w:w="741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在吉林市、四平市各开展1个紧密型城市医疗集团试点，完善体制机制，积极探索网格化布局和规范化管理。</w:t>
            </w:r>
          </w:p>
        </w:tc>
        <w:tc>
          <w:tcPr>
            <w:tcW w:w="1541" w:type="dxa"/>
            <w:noWrap w:val="0"/>
            <w:vAlign w:val="center"/>
          </w:tcPr>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省发改委、省财政厅、省人社厅、省医保局、省中医局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42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推进“千县工程”建设，</w:t>
            </w:r>
            <w:r>
              <w:rPr>
                <w:rFonts w:hint="eastAsia" w:ascii="宋体" w:hAnsi="宋体" w:cs="宋体"/>
                <w:color w:val="auto"/>
                <w:szCs w:val="21"/>
              </w:rPr>
              <w:t>补齐县医院医疗服务和管理能力短板，有效落实县医院在县域医疗服务体系中的龙头作用和城乡医疗服务体系中的桥梁纽带作用。</w:t>
            </w:r>
          </w:p>
        </w:tc>
        <w:tc>
          <w:tcPr>
            <w:tcW w:w="1541" w:type="dxa"/>
            <w:noWrap w:val="0"/>
            <w:vAlign w:val="center"/>
          </w:tcPr>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省财政厅、省人社厅、省医保局、省中医局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42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在县域推广临床服务、急诊急救新模式。</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42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年底前“16+1”个紧密型县域医共体试点形成服务、责任、利益、管理共同体，加强监测评价，强化评价结果应用。</w:t>
            </w:r>
          </w:p>
        </w:tc>
        <w:tc>
          <w:tcPr>
            <w:tcW w:w="1541" w:type="dxa"/>
            <w:noWrap w:val="0"/>
            <w:vAlign w:val="center"/>
          </w:tcPr>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省财政厅、省人社厅、省医保局、省中医局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restart"/>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3</w:t>
            </w:r>
          </w:p>
        </w:tc>
        <w:tc>
          <w:tcPr>
            <w:tcW w:w="1302" w:type="dxa"/>
            <w:vMerge w:val="restart"/>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提升基层医疗卫生服务水平</w:t>
            </w: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扎实推进“一村一名大学生村医”计划。推进“县管乡用、乡聘村用”。</w:t>
            </w:r>
          </w:p>
        </w:tc>
        <w:tc>
          <w:tcPr>
            <w:tcW w:w="1541" w:type="dxa"/>
            <w:noWrap w:val="0"/>
            <w:vAlign w:val="center"/>
          </w:tcPr>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省财政厅、省人社厅、省乡村振兴局、省中医局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42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szCs w:val="21"/>
              </w:rPr>
              <w:t>落实乡村医生多渠道补偿政策，落实一般诊疗费补助。</w:t>
            </w:r>
          </w:p>
        </w:tc>
        <w:tc>
          <w:tcPr>
            <w:tcW w:w="1541" w:type="dxa"/>
            <w:noWrap w:val="0"/>
            <w:vAlign w:val="center"/>
          </w:tcPr>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省财政厅、省中医局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42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强化基本医疗和公共卫生服务双网，完善乡镇卫生院、村卫生室、社区卫生服务中心功能，确保村级医疗卫生服务全覆盖。</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42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加强基层医疗机构和家庭医生（团队）健康管理服务，推广长期处方服务并落实相关医保支付政策。</w:t>
            </w:r>
          </w:p>
        </w:tc>
        <w:tc>
          <w:tcPr>
            <w:tcW w:w="1541" w:type="dxa"/>
            <w:noWrap w:val="0"/>
            <w:vAlign w:val="center"/>
          </w:tcPr>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省医保局、省中医局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30" w:type="dxa"/>
            <w:vMerge w:val="restart"/>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3</w:t>
            </w:r>
          </w:p>
        </w:tc>
        <w:tc>
          <w:tcPr>
            <w:tcW w:w="1302" w:type="dxa"/>
            <w:vMerge w:val="restart"/>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提升基层医疗卫生服务水平</w:t>
            </w: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年底前，常住服务人口家庭医生签约服务覆盖率达到45%以上，重点人群签约服务覆盖率达到79%以上。</w:t>
            </w:r>
          </w:p>
        </w:tc>
        <w:tc>
          <w:tcPr>
            <w:tcW w:w="1541" w:type="dxa"/>
            <w:noWrap w:val="0"/>
            <w:vAlign w:val="center"/>
          </w:tcPr>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42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优化基本公共卫生服务项目，提升服务质量。</w:t>
            </w:r>
          </w:p>
        </w:tc>
        <w:tc>
          <w:tcPr>
            <w:tcW w:w="1541" w:type="dxa"/>
            <w:noWrap w:val="0"/>
            <w:vAlign w:val="center"/>
          </w:tcPr>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restart"/>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4</w:t>
            </w:r>
          </w:p>
        </w:tc>
        <w:tc>
          <w:tcPr>
            <w:tcW w:w="1302" w:type="dxa"/>
            <w:vMerge w:val="restart"/>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推进分级诊疗和优化就医秩序</w:t>
            </w:r>
          </w:p>
        </w:tc>
        <w:tc>
          <w:tcPr>
            <w:tcW w:w="7419" w:type="dxa"/>
            <w:noWrap w:val="0"/>
            <w:vAlign w:val="center"/>
          </w:tcPr>
          <w:p>
            <w:pPr>
              <w:widowControl/>
              <w:rPr>
                <w:rFonts w:hint="eastAsia" w:ascii="宋体" w:hAnsi="宋体" w:cs="宋体"/>
                <w:bCs/>
                <w:szCs w:val="21"/>
              </w:rPr>
            </w:pPr>
            <w:r>
              <w:rPr>
                <w:rFonts w:hint="eastAsia" w:ascii="宋体" w:hAnsi="宋体" w:cs="宋体"/>
                <w:kern w:val="0"/>
                <w:szCs w:val="21"/>
              </w:rPr>
              <w:t>完善分级诊疗工作机制，落实各级各类医疗机构功能定位，形成分工协作机制。</w:t>
            </w:r>
          </w:p>
        </w:tc>
        <w:tc>
          <w:tcPr>
            <w:tcW w:w="1541" w:type="dxa"/>
            <w:noWrap w:val="0"/>
            <w:vAlign w:val="center"/>
          </w:tcPr>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省医保局、省中医局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widowControl/>
              <w:rPr>
                <w:rFonts w:hint="eastAsia" w:ascii="宋体" w:hAnsi="宋体" w:cs="宋体"/>
                <w:bCs/>
                <w:szCs w:val="21"/>
              </w:rPr>
            </w:pPr>
            <w:r>
              <w:rPr>
                <w:rFonts w:hint="eastAsia" w:ascii="宋体" w:hAnsi="宋体" w:cs="宋体"/>
                <w:kern w:val="0"/>
                <w:szCs w:val="21"/>
              </w:rPr>
              <w:t>按照国家制定的疾病分级诊疗技术方案和入出院标准，引导有序就医。</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省医保局、省中医局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widowControl/>
              <w:rPr>
                <w:rFonts w:hint="eastAsia" w:ascii="宋体" w:hAnsi="宋体" w:cs="宋体"/>
                <w:bCs/>
                <w:szCs w:val="21"/>
              </w:rPr>
            </w:pPr>
            <w:r>
              <w:rPr>
                <w:rFonts w:hint="eastAsia" w:ascii="宋体" w:hAnsi="宋体" w:cs="宋体"/>
                <w:kern w:val="0"/>
                <w:szCs w:val="21"/>
              </w:rPr>
              <w:t>推进紧密型县域医共体总额付费，加强监督考核，结余留用、合理超支分担，促进区域或医疗联合体内合理就医。</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省医保局、省中医局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restart"/>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5</w:t>
            </w:r>
          </w:p>
        </w:tc>
        <w:tc>
          <w:tcPr>
            <w:tcW w:w="1302" w:type="dxa"/>
            <w:vMerge w:val="restart"/>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学习借鉴三明医改经验</w:t>
            </w:r>
          </w:p>
        </w:tc>
        <w:tc>
          <w:tcPr>
            <w:tcW w:w="741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严格落实省医改领导小组《学习借鉴三明经验 深化医药卫生体制改革工作方案》，按照工作方案施工图明确的责任分工，跟踪评估学习借鉴三明医改经验工作进展，及时通报情况督促整改问题。</w:t>
            </w:r>
          </w:p>
        </w:tc>
        <w:tc>
          <w:tcPr>
            <w:tcW w:w="1541" w:type="dxa"/>
            <w:noWrap w:val="0"/>
            <w:vAlign w:val="center"/>
          </w:tcPr>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省医改领导小组秘书处</w:t>
            </w:r>
          </w:p>
        </w:tc>
        <w:tc>
          <w:tcPr>
            <w:tcW w:w="190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省财政厅、省人社厅、省卫生健康委、省医保局、省中医局等领导小组相关成员单位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42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由党委和政府主要负责同志或一位主要负责同志担任医改领导小组组长。</w:t>
            </w:r>
          </w:p>
        </w:tc>
        <w:tc>
          <w:tcPr>
            <w:tcW w:w="1541" w:type="dxa"/>
            <w:noWrap w:val="0"/>
            <w:vAlign w:val="center"/>
          </w:tcPr>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省医改领导小组秘书处</w:t>
            </w:r>
          </w:p>
        </w:tc>
        <w:tc>
          <w:tcPr>
            <w:tcW w:w="190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bCs/>
                <w:color w:val="auto"/>
                <w:szCs w:val="21"/>
              </w:rPr>
              <w:t>各级医改领导小组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restart"/>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6</w:t>
            </w:r>
          </w:p>
        </w:tc>
        <w:tc>
          <w:tcPr>
            <w:tcW w:w="1302" w:type="dxa"/>
            <w:vMerge w:val="restart"/>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开展药品耗材集中带量采购</w:t>
            </w:r>
          </w:p>
        </w:tc>
        <w:tc>
          <w:tcPr>
            <w:tcW w:w="741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严格执行国家组织药品集中带量采购中选结果，扩大采购范围。</w:t>
            </w:r>
          </w:p>
        </w:tc>
        <w:tc>
          <w:tcPr>
            <w:tcW w:w="1541" w:type="dxa"/>
            <w:noWrap w:val="0"/>
            <w:vAlign w:val="center"/>
          </w:tcPr>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省医保局</w:t>
            </w:r>
          </w:p>
        </w:tc>
        <w:tc>
          <w:tcPr>
            <w:tcW w:w="190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省财政厅、省卫生健康委、省中医局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42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年内参加国家和地方采购药品通用名数合计超过350个，对国家组织采购以外用量大、采购金额高的药品耗材，实施1次以上联盟采购方式的集中带量采购，提高药品、高值医用耗材网采率。</w:t>
            </w:r>
          </w:p>
        </w:tc>
        <w:tc>
          <w:tcPr>
            <w:tcW w:w="1541" w:type="dxa"/>
            <w:noWrap w:val="0"/>
            <w:vAlign w:val="center"/>
          </w:tcPr>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省医保局</w:t>
            </w:r>
          </w:p>
        </w:tc>
        <w:tc>
          <w:tcPr>
            <w:tcW w:w="190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省财政厅、省卫生健康委、省中医局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42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落实药品耗材集中采购医保资金结余留用政策，完善结余留用考核，激励合理优先使用中选产品。</w:t>
            </w:r>
          </w:p>
        </w:tc>
        <w:tc>
          <w:tcPr>
            <w:tcW w:w="1541" w:type="dxa"/>
            <w:noWrap w:val="0"/>
            <w:vAlign w:val="center"/>
          </w:tcPr>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省医保局</w:t>
            </w:r>
          </w:p>
        </w:tc>
        <w:tc>
          <w:tcPr>
            <w:tcW w:w="190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省财政厅、省卫生健康委、省中医局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42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加强医用耗材价格监测。</w:t>
            </w:r>
          </w:p>
        </w:tc>
        <w:tc>
          <w:tcPr>
            <w:tcW w:w="1541" w:type="dxa"/>
            <w:noWrap w:val="0"/>
            <w:vAlign w:val="center"/>
          </w:tcPr>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省医保局</w:t>
            </w:r>
          </w:p>
        </w:tc>
        <w:tc>
          <w:tcPr>
            <w:tcW w:w="190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省卫生健康委、省中医局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restart"/>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7</w:t>
            </w:r>
          </w:p>
        </w:tc>
        <w:tc>
          <w:tcPr>
            <w:tcW w:w="1302" w:type="dxa"/>
            <w:vMerge w:val="restart"/>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推进医疗服务价格改革</w:t>
            </w:r>
          </w:p>
        </w:tc>
        <w:tc>
          <w:tcPr>
            <w:tcW w:w="741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10月底前，制定印发建立医疗服务价格动态调整机制相关文件，年底前将医疗服务价格调出成本监审和价格听证目录。</w:t>
            </w:r>
          </w:p>
        </w:tc>
        <w:tc>
          <w:tcPr>
            <w:tcW w:w="1541" w:type="dxa"/>
            <w:noWrap w:val="0"/>
            <w:vAlign w:val="center"/>
          </w:tcPr>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省医保局</w:t>
            </w:r>
          </w:p>
        </w:tc>
        <w:tc>
          <w:tcPr>
            <w:tcW w:w="190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省财政厅、省卫生健康委、省中医局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科学设置医疗服务价格调整的启动条件、触发标准及约束条件，年内开展1次调价评估，符合条件的及时调价。</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省医保局</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省卫生健康委、省中医局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符合规定的医疗服务价格项目及时纳入医保支付范围。</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省医保局</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省卫生健康委、省中医局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30" w:type="dxa"/>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8</w:t>
            </w:r>
          </w:p>
        </w:tc>
        <w:tc>
          <w:tcPr>
            <w:tcW w:w="1302"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推进医保支付方式改革</w:t>
            </w:r>
          </w:p>
        </w:tc>
        <w:tc>
          <w:tcPr>
            <w:tcW w:w="741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持续推进医保支付改革任务，重点推进以DRG/DIP付费为主的多元复合式医保支付方式改革，研究出台我省DRG/DIP支付方式改革三年行动计划，逐步提高统筹地区、医疗机构、病种、医保基金覆盖率。</w:t>
            </w:r>
          </w:p>
        </w:tc>
        <w:tc>
          <w:tcPr>
            <w:tcW w:w="1541" w:type="dxa"/>
            <w:noWrap w:val="0"/>
            <w:vAlign w:val="center"/>
          </w:tcPr>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省医保局</w:t>
            </w:r>
          </w:p>
        </w:tc>
        <w:tc>
          <w:tcPr>
            <w:tcW w:w="190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省卫生健康委、省中医局、省财政厅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30" w:type="dxa"/>
            <w:vMerge w:val="restart"/>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9</w:t>
            </w:r>
          </w:p>
        </w:tc>
        <w:tc>
          <w:tcPr>
            <w:tcW w:w="1302" w:type="dxa"/>
            <w:vMerge w:val="restart"/>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深化公立医院人事薪酬制度改革</w:t>
            </w:r>
          </w:p>
        </w:tc>
        <w:tc>
          <w:tcPr>
            <w:tcW w:w="741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结合实际用足用好编制资源，对符合条件的现有编外聘用专业技术人员，可探索通过公开招聘等严格规范的程序择优聘用，纳入编制管理。</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省委编办</w:t>
            </w:r>
          </w:p>
          <w:p>
            <w:pPr>
              <w:pStyle w:val="2"/>
              <w:ind w:firstLine="0" w:firstLineChars="0"/>
              <w:jc w:val="center"/>
              <w:rPr>
                <w:rFonts w:hint="eastAsia" w:ascii="宋体" w:hAnsi="宋体" w:cs="宋体"/>
                <w:bCs/>
                <w:color w:val="auto"/>
                <w:szCs w:val="21"/>
              </w:rPr>
            </w:pPr>
            <w:r>
              <w:rPr>
                <w:rFonts w:hint="eastAsia" w:ascii="宋体" w:hAnsi="宋体" w:cs="宋体"/>
                <w:color w:val="auto"/>
                <w:kern w:val="0"/>
                <w:szCs w:val="21"/>
              </w:rPr>
              <w:t>省人社厅</w:t>
            </w:r>
          </w:p>
        </w:tc>
        <w:tc>
          <w:tcPr>
            <w:tcW w:w="1909" w:type="dxa"/>
            <w:noWrap w:val="0"/>
            <w:vAlign w:val="center"/>
          </w:tcPr>
          <w:p>
            <w:pPr>
              <w:pStyle w:val="2"/>
              <w:ind w:firstLine="0" w:firstLineChars="0"/>
              <w:rPr>
                <w:rFonts w:hint="eastAsia" w:ascii="宋体" w:hAnsi="宋体" w:cs="宋体"/>
                <w:bCs/>
                <w:color w:val="auto"/>
                <w:szCs w:val="21"/>
              </w:rPr>
            </w:pPr>
            <w:r>
              <w:rPr>
                <w:rFonts w:hint="eastAsia" w:ascii="宋体" w:hAnsi="宋体" w:cs="宋体"/>
                <w:color w:val="auto"/>
                <w:kern w:val="0"/>
                <w:szCs w:val="21"/>
              </w:rPr>
              <w:t>省财政厅、省卫生健康委、省中医局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落实“两个允许”要求，合理增加公立医院薪酬总量，合理确定公立医院内部薪酬结构，实施以增加知识价值为导向的分配政策，强化公益属性，健全考核机制。</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省人社厅</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省财政厅、省卫生健康委、省中医局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进一步扩大符合条件的三级医院开展高级职称自主评审试点范围。</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省人社厅</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省卫生健康委、省中医局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restart"/>
            <w:noWrap w:val="0"/>
            <w:vAlign w:val="center"/>
          </w:tcPr>
          <w:p>
            <w:pPr>
              <w:pStyle w:val="2"/>
              <w:ind w:left="-30" w:right="-30" w:firstLine="0" w:firstLineChars="0"/>
              <w:jc w:val="center"/>
              <w:rPr>
                <w:rFonts w:ascii="宋体" w:hAnsi="宋体" w:cs="宋体"/>
                <w:bCs/>
                <w:color w:val="auto"/>
                <w:szCs w:val="21"/>
              </w:rPr>
            </w:pPr>
            <w:r>
              <w:rPr>
                <w:rFonts w:hint="eastAsia" w:ascii="宋体" w:hAnsi="宋体" w:cs="宋体"/>
                <w:bCs/>
                <w:color w:val="auto"/>
                <w:szCs w:val="21"/>
              </w:rPr>
              <w:t>10</w:t>
            </w:r>
          </w:p>
        </w:tc>
        <w:tc>
          <w:tcPr>
            <w:tcW w:w="1302" w:type="dxa"/>
            <w:vMerge w:val="restart"/>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加强行业综合监管</w:t>
            </w: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严格落实行业主管部门监管职责和相关部门职责范围内的监管责任，推动各级政府全面落实属地监管责任，实现事前事中事后全链条监管。</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top"/>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省市场监管厅、省医保局、省中医局、省药监局等省医疗卫生行业综合监管联席会议成员单位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szCs w:val="21"/>
              </w:rPr>
              <w:t>规范医疗机构收费和服务，按照医院信息公开基本目录定期向社会公布相关信息。</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省市场监管厅、省医保局、省中医局、省药监局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严厉打击欺诈骗取医保基金行为。</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省医保局</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省市场监管厅、省中医局、省药监局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noWrap w:val="0"/>
            <w:vAlign w:val="center"/>
          </w:tcPr>
          <w:p>
            <w:pPr>
              <w:pStyle w:val="2"/>
              <w:ind w:left="-30" w:right="-30" w:firstLine="0" w:firstLineChars="0"/>
              <w:jc w:val="center"/>
              <w:rPr>
                <w:rFonts w:ascii="宋体" w:hAnsi="宋体" w:cs="宋体"/>
                <w:bCs/>
                <w:color w:val="auto"/>
                <w:szCs w:val="21"/>
              </w:rPr>
            </w:pPr>
            <w:r>
              <w:rPr>
                <w:rFonts w:hint="eastAsia" w:ascii="宋体" w:hAnsi="宋体" w:cs="宋体"/>
                <w:bCs/>
                <w:color w:val="auto"/>
                <w:szCs w:val="21"/>
              </w:rPr>
              <w:t>10</w:t>
            </w:r>
          </w:p>
        </w:tc>
        <w:tc>
          <w:tcPr>
            <w:tcW w:w="1302"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加强行业综合监管</w:t>
            </w: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加强医药领域价格监管。推进药品使用监测信息网络建设和药品编码应用，2022年力争覆盖所有二级及以上公立医疗机构和80%的政府办社区卫生服务中心、乡镇卫生院。</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省药监局</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省市场监管厅、省医保局、省中医局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restart"/>
            <w:noWrap w:val="0"/>
            <w:vAlign w:val="center"/>
          </w:tcPr>
          <w:p>
            <w:pPr>
              <w:pStyle w:val="2"/>
              <w:ind w:left="-30" w:right="-30" w:firstLine="0" w:firstLineChars="0"/>
              <w:jc w:val="center"/>
              <w:rPr>
                <w:rFonts w:ascii="宋体" w:hAnsi="宋体" w:cs="宋体"/>
                <w:bCs/>
                <w:color w:val="auto"/>
                <w:szCs w:val="21"/>
              </w:rPr>
            </w:pPr>
            <w:r>
              <w:rPr>
                <w:rFonts w:hint="eastAsia" w:ascii="宋体" w:hAnsi="宋体" w:cs="宋体"/>
                <w:bCs/>
                <w:color w:val="auto"/>
                <w:szCs w:val="21"/>
              </w:rPr>
              <w:t>11</w:t>
            </w:r>
          </w:p>
        </w:tc>
        <w:tc>
          <w:tcPr>
            <w:tcW w:w="1302" w:type="dxa"/>
            <w:vMerge w:val="restart"/>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提升疾病预防控制能力</w:t>
            </w: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健全疾病预防控制网络、管理体系和运行机制，完善防治结合、联防联控、群防群控机制，加强公共卫生队伍建设，提高重大疫情监测预警、流调溯源和应急处置能力。</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各级疾病预防控制机构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完善重大疾病防控策略，完成重点地区重点传染病监测，法定传染病发病率持续控制在低流行水平，保持重点地方病控制消除状态。</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各级疾病预防控制机构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平稳有序做好疾病预防控制机构改革相关工作。</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省委编办</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42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推进村（居）民委员会公共卫生委员会建设。</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省民政厅</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restart"/>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12</w:t>
            </w:r>
          </w:p>
        </w:tc>
        <w:tc>
          <w:tcPr>
            <w:tcW w:w="1302" w:type="dxa"/>
            <w:vMerge w:val="restart"/>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提高医防协同能力</w:t>
            </w: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推进实施癌症、脑卒中、心血管病、慢阻肺等重大慢性病高危筛查干预项目。</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推进高血压、高血糖、高血脂“三高”共管试点，完善慢性病健康管理适宜技术和服务模式，推进基层慢性病医防融合管理。</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szCs w:val="21"/>
              </w:rPr>
              <w:t>探索建立疾病预防控制机构与医疗机构公共卫生人员交流机制，互派公共卫生人员交流学习。</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szCs w:val="21"/>
              </w:rPr>
              <w:t>医疗机构要建立全员培训制度，定期组织医务人员开展院感防控和公共卫生专项培训。</w:t>
            </w:r>
            <w:r>
              <w:rPr>
                <w:rFonts w:hint="eastAsia" w:ascii="宋体" w:hAnsi="宋体" w:cs="宋体"/>
                <w:color w:val="auto"/>
                <w:kern w:val="0"/>
                <w:szCs w:val="21"/>
              </w:rPr>
              <w:t>推进省级职业健康教育培训基地建设。</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加强职业病诊断机构和市（州）级疾控中心</w:t>
            </w:r>
            <w:r>
              <w:rPr>
                <w:rFonts w:hint="eastAsia" w:ascii="宋体" w:hAnsi="宋体" w:cs="宋体"/>
                <w:color w:val="auto"/>
                <w:szCs w:val="21"/>
                <w:lang w:val="en"/>
              </w:rPr>
              <w:t>（职业病防治院所）</w:t>
            </w:r>
            <w:r>
              <w:rPr>
                <w:rFonts w:hint="eastAsia" w:ascii="宋体" w:hAnsi="宋体" w:cs="宋体"/>
                <w:color w:val="auto"/>
                <w:kern w:val="0"/>
                <w:szCs w:val="21"/>
              </w:rPr>
              <w:t>职业病防治能力建设，提高尘肺病等职业病诊断救治康复能力。</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restart"/>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13</w:t>
            </w:r>
          </w:p>
        </w:tc>
        <w:tc>
          <w:tcPr>
            <w:tcW w:w="1302" w:type="dxa"/>
            <w:vMerge w:val="restart"/>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做好新冠肺炎疫情防控</w:t>
            </w:r>
          </w:p>
        </w:tc>
        <w:tc>
          <w:tcPr>
            <w:tcW w:w="7419" w:type="dxa"/>
            <w:noWrap w:val="0"/>
            <w:vAlign w:val="center"/>
          </w:tcPr>
          <w:p>
            <w:pPr>
              <w:pStyle w:val="2"/>
              <w:ind w:firstLine="0" w:firstLineChars="0"/>
              <w:rPr>
                <w:rFonts w:hint="eastAsia" w:ascii="宋体" w:hAnsi="宋体" w:cs="宋体"/>
                <w:b/>
                <w:bCs/>
                <w:color w:val="auto"/>
                <w:kern w:val="0"/>
                <w:szCs w:val="21"/>
              </w:rPr>
            </w:pPr>
            <w:r>
              <w:rPr>
                <w:rFonts w:hint="eastAsia" w:ascii="宋体" w:hAnsi="宋体" w:cs="宋体"/>
                <w:color w:val="auto"/>
                <w:kern w:val="0"/>
                <w:szCs w:val="21"/>
              </w:rPr>
              <w:t>坚持常态化科学精准防控和局部应急处置有机结合，落实“四方责任”和“四早”要求。</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省疫情防控领导小组成员单位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加强疫情源头控制，压实口岸防控专班责任，坚持人、物、环境同防，强化口岸入境人员和高风险岗位人员闭环管理。</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省疫情防控领导小组成员单位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加强诊所等基层医疗卫生机构、药店管理，完善多点触发监测预警机制。</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省疫情防控领导小组成员单位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vMerge w:val="restart"/>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14</w:t>
            </w:r>
          </w:p>
        </w:tc>
        <w:tc>
          <w:tcPr>
            <w:tcW w:w="1302" w:type="dxa"/>
            <w:vMerge w:val="restart"/>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深入实施健康中国行动</w:t>
            </w: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推进健康中国行动，进一步完善工作机制，确保到2022年的阶段性目标任务顺利完成。持续深入开展爱国卫生运动。</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省教育厅、省体育局、省中医局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szCs w:val="21"/>
              </w:rPr>
            </w:pPr>
            <w:r>
              <w:rPr>
                <w:rFonts w:hint="eastAsia" w:ascii="宋体" w:hAnsi="宋体" w:cs="宋体"/>
                <w:color w:val="auto"/>
                <w:szCs w:val="21"/>
              </w:rPr>
              <w:t>推进医疗机构和医务人员开展健康教育的绩效考核机制建设</w:t>
            </w:r>
            <w:r>
              <w:rPr>
                <w:rFonts w:hint="eastAsia" w:ascii="宋体" w:hAnsi="宋体" w:cs="宋体"/>
                <w:color w:val="auto"/>
                <w:kern w:val="0"/>
                <w:szCs w:val="21"/>
              </w:rPr>
              <w:t>。</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省教育厅、省体育局、省中医局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vMerge w:val="restart"/>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15</w:t>
            </w:r>
          </w:p>
        </w:tc>
        <w:tc>
          <w:tcPr>
            <w:tcW w:w="1302" w:type="dxa"/>
            <w:vMerge w:val="restart"/>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推动公立医院综合改革和高质量发展</w:t>
            </w: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按照属地原则对辖区内公立医院高质量发展进行评价。</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积极发挥高水平公立医院高质量发展示范引领作用。</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省财政厅、省中医局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推进建立健全现代医院管理制度试点。</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加强公立医院、妇幼保健机构绩效考核。</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30" w:type="dxa"/>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16</w:t>
            </w:r>
          </w:p>
        </w:tc>
        <w:tc>
          <w:tcPr>
            <w:tcW w:w="1302"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发挥政府投入激励作用</w:t>
            </w: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坚持公益性，落实政府在卫生健康领域的投入责任，落实政府对符合区域卫生规划公立医院的投入政策。</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省财政厅</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省卫生健康委、省中医局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vMerge w:val="restart"/>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17</w:t>
            </w:r>
          </w:p>
        </w:tc>
        <w:tc>
          <w:tcPr>
            <w:tcW w:w="1302" w:type="dxa"/>
            <w:vMerge w:val="restart"/>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促进多层次医疗保障体系发展</w:t>
            </w: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推动基本医保省级统筹。</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省医保局</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省财政厅、省卫生健康委、省中医局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完善跨省异地就医直接结算办法，进一步扩大门诊费用跨省直接结算，每个县至少有一家定点医疗机构能够提供包括门诊费用在内的医疗费用跨省直接结算服务。</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省医保局</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省卫生健康委、省中医局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推进职工医保普通门诊统筹，对在基层医疗卫生机构就医实行差别化支付政策，逐步将多发病、常见病的普通门诊费用纳入统筹基金支付范围。</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省医保局</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省卫生健康委、省中医局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深化长期护理保险制度试点，及时总结推广经验。</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省医保局</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吉林银保监局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支持商业保险机构开发与基本医疗保险相衔接的商业健康保险产品，更好覆盖基本医保不予支付的费用。</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吉林银保监局</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省卫生健康委、省中医局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30" w:type="dxa"/>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18</w:t>
            </w:r>
          </w:p>
        </w:tc>
        <w:tc>
          <w:tcPr>
            <w:tcW w:w="1302"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强化药品供应保障能力</w:t>
            </w: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完善公立医疗机构优先配备使用基本药物政策，鼓励城市医疗集团、县域医共体等建立药品联动管理机制，促进上下级医疗机构用药衔接。</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省医保局、省中医局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vMerge w:val="restart"/>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18</w:t>
            </w:r>
          </w:p>
        </w:tc>
        <w:tc>
          <w:tcPr>
            <w:tcW w:w="1302" w:type="dxa"/>
            <w:vMerge w:val="restart"/>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强化药品供应保障能力</w:t>
            </w: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健全药品协同监测机制，强化药品短缺分级应对。</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省工信厅</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省商务厅、省医保局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健全省级药品临床综合评价组织管理体系，贯彻执行国家评价指南和标准规范。</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分类推进医疗器械唯一标识实施工作，深化唯一标识在监管、医疗、医保等领域的衔接应用。</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省药监局</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vMerge w:val="restart"/>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19</w:t>
            </w:r>
          </w:p>
        </w:tc>
        <w:tc>
          <w:tcPr>
            <w:tcW w:w="1302" w:type="dxa"/>
            <w:vMerge w:val="restart"/>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推动中医药振兴发展</w:t>
            </w: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推进中医药综合改革。开展医疗、医保、医药联动促进中医药传承创新发展试点。</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省中医局</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省财政厅、省医保局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开展医保支持中医药发展试点，推动中医特色优势病种按病种付费。</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省中医局</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加强基层医疗卫生机构中医药服务能力建设，力争实现全部社区卫生服务中心和乡镇卫生院设置中医馆、配备中医医师。</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省中医局</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vMerge w:val="restart"/>
            <w:noWrap w:val="0"/>
            <w:vAlign w:val="center"/>
          </w:tcPr>
          <w:p>
            <w:pPr>
              <w:pStyle w:val="2"/>
              <w:ind w:left="-30" w:right="-30" w:firstLine="0" w:firstLineChars="0"/>
              <w:jc w:val="center"/>
              <w:rPr>
                <w:rFonts w:hint="eastAsia" w:ascii="宋体" w:hAnsi="宋体" w:cs="宋体"/>
                <w:bCs/>
                <w:color w:val="auto"/>
                <w:szCs w:val="21"/>
              </w:rPr>
            </w:pPr>
            <w:r>
              <w:rPr>
                <w:rFonts w:hint="eastAsia" w:ascii="宋体" w:hAnsi="宋体" w:cs="宋体"/>
                <w:bCs/>
                <w:color w:val="auto"/>
                <w:szCs w:val="21"/>
              </w:rPr>
              <w:t>20</w:t>
            </w:r>
          </w:p>
        </w:tc>
        <w:tc>
          <w:tcPr>
            <w:tcW w:w="1302" w:type="dxa"/>
            <w:vMerge w:val="restart"/>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提升医养结合发展水平</w:t>
            </w: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健全医疗卫生机构和养老服务机构合作机制，为老年人提供治疗期住院、康复期护理、稳定期生活照料、安宁疗护一体化服务。</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省医保局、省中医局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实施社区医养结合能力提升行动，进一步增加居家、社区、机构等医养结合服务供给。</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开展医养结合示范项目，提高服务质量和水平。</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省卫生健康委</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vMerge w:val="continue"/>
            <w:noWrap w:val="0"/>
            <w:vAlign w:val="center"/>
          </w:tcPr>
          <w:p>
            <w:pPr>
              <w:pStyle w:val="2"/>
              <w:ind w:left="-30" w:right="-30" w:firstLine="0" w:firstLineChars="0"/>
              <w:jc w:val="center"/>
              <w:rPr>
                <w:rFonts w:hint="eastAsia" w:ascii="宋体" w:hAnsi="宋体" w:cs="宋体"/>
                <w:bCs/>
                <w:color w:val="auto"/>
                <w:szCs w:val="21"/>
              </w:rPr>
            </w:pPr>
          </w:p>
        </w:tc>
        <w:tc>
          <w:tcPr>
            <w:tcW w:w="1302" w:type="dxa"/>
            <w:vMerge w:val="continue"/>
            <w:noWrap w:val="0"/>
            <w:vAlign w:val="center"/>
          </w:tcPr>
          <w:p>
            <w:pPr>
              <w:pStyle w:val="2"/>
              <w:ind w:firstLine="0" w:firstLineChars="0"/>
              <w:rPr>
                <w:rFonts w:hint="eastAsia" w:ascii="宋体" w:hAnsi="宋体" w:cs="宋体"/>
                <w:color w:val="auto"/>
                <w:kern w:val="0"/>
                <w:szCs w:val="21"/>
              </w:rPr>
            </w:pPr>
          </w:p>
        </w:tc>
        <w:tc>
          <w:tcPr>
            <w:tcW w:w="741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推动相应医疗卫生机构、具备条件的医养结合机构开设安宁疗护病区或床位，开展安宁疗护服务。</w:t>
            </w:r>
          </w:p>
        </w:tc>
        <w:tc>
          <w:tcPr>
            <w:tcW w:w="1541" w:type="dxa"/>
            <w:noWrap w:val="0"/>
            <w:vAlign w:val="center"/>
          </w:tcPr>
          <w:p>
            <w:pPr>
              <w:pStyle w:val="2"/>
              <w:ind w:firstLine="0" w:firstLineChars="0"/>
              <w:jc w:val="center"/>
              <w:rPr>
                <w:rFonts w:hint="eastAsia" w:ascii="宋体" w:hAnsi="宋体" w:cs="宋体"/>
                <w:color w:val="auto"/>
                <w:kern w:val="0"/>
                <w:szCs w:val="21"/>
              </w:rPr>
            </w:pPr>
            <w:r>
              <w:rPr>
                <w:rFonts w:hint="eastAsia" w:ascii="宋体" w:hAnsi="宋体" w:cs="宋体"/>
                <w:color w:val="auto"/>
                <w:kern w:val="0"/>
                <w:szCs w:val="21"/>
              </w:rPr>
              <w:t>省民政厅</w:t>
            </w:r>
          </w:p>
        </w:tc>
        <w:tc>
          <w:tcPr>
            <w:tcW w:w="1909" w:type="dxa"/>
            <w:noWrap w:val="0"/>
            <w:vAlign w:val="center"/>
          </w:tcPr>
          <w:p>
            <w:pPr>
              <w:pStyle w:val="2"/>
              <w:ind w:firstLine="0" w:firstLineChars="0"/>
              <w:rPr>
                <w:rFonts w:hint="eastAsia" w:ascii="宋体" w:hAnsi="宋体" w:cs="宋体"/>
                <w:color w:val="auto"/>
                <w:kern w:val="0"/>
                <w:szCs w:val="21"/>
              </w:rPr>
            </w:pPr>
            <w:r>
              <w:rPr>
                <w:rFonts w:hint="eastAsia" w:ascii="宋体" w:hAnsi="宋体" w:cs="宋体"/>
                <w:color w:val="auto"/>
                <w:kern w:val="0"/>
                <w:szCs w:val="21"/>
              </w:rPr>
              <w:t>省卫生健康委、省医保局、省中医局</w:t>
            </w:r>
          </w:p>
        </w:tc>
      </w:tr>
    </w:tbl>
    <w:p>
      <w:pPr>
        <w:rPr>
          <w:rFonts w:hint="eastAsia"/>
        </w:rPr>
      </w:pPr>
    </w:p>
    <w:p/>
    <w:sectPr>
      <w:footerReference r:id="rId3" w:type="default"/>
      <w:pgSz w:w="16838" w:h="11906" w:orient="landscape"/>
      <w:pgMar w:top="1474" w:right="2098" w:bottom="1474" w:left="2041"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hint="eastAsia"/>
        <w:sz w:val="21"/>
        <w:szCs w:val="21"/>
      </w:rPr>
    </w:pPr>
    <w:r>
      <w:rPr>
        <w:rStyle w:val="7"/>
        <w:rFonts w:hint="eastAsia"/>
        <w:sz w:val="21"/>
        <w:szCs w:val="21"/>
      </w:rPr>
      <w:t xml:space="preserve">— </w:t>
    </w:r>
    <w:r>
      <w:rPr>
        <w:rStyle w:val="7"/>
        <w:sz w:val="21"/>
        <w:szCs w:val="21"/>
      </w:rPr>
      <w:fldChar w:fldCharType="begin"/>
    </w:r>
    <w:r>
      <w:rPr>
        <w:rStyle w:val="7"/>
        <w:sz w:val="21"/>
        <w:szCs w:val="21"/>
      </w:rPr>
      <w:instrText xml:space="preserve">PAGE  </w:instrText>
    </w:r>
    <w:r>
      <w:rPr>
        <w:rStyle w:val="7"/>
        <w:sz w:val="21"/>
        <w:szCs w:val="21"/>
      </w:rPr>
      <w:fldChar w:fldCharType="separate"/>
    </w:r>
    <w:r>
      <w:rPr>
        <w:rStyle w:val="7"/>
        <w:sz w:val="21"/>
        <w:szCs w:val="21"/>
      </w:rPr>
      <w:t>16</w:t>
    </w:r>
    <w:r>
      <w:rPr>
        <w:rStyle w:val="7"/>
        <w:sz w:val="21"/>
        <w:szCs w:val="21"/>
      </w:rPr>
      <w:fldChar w:fldCharType="end"/>
    </w:r>
    <w:r>
      <w:rPr>
        <w:rStyle w:val="7"/>
        <w:rFonts w:hint="eastAsia"/>
        <w:sz w:val="21"/>
        <w:szCs w:val="21"/>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OWJlZTQ2M2UzNDkyNmNmOWM0ODgxNGM3MzEzZjkifQ=="/>
  </w:docVars>
  <w:rsids>
    <w:rsidRoot w:val="5A6A2948"/>
    <w:rsid w:val="5A6A2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color w:val="000000"/>
    </w:rPr>
  </w:style>
  <w:style w:type="paragraph" w:styleId="3">
    <w:name w:val="footer"/>
    <w:basedOn w:val="1"/>
    <w:uiPriority w:val="0"/>
    <w:pPr>
      <w:tabs>
        <w:tab w:val="center" w:pos="4153"/>
        <w:tab w:val="right" w:pos="8306"/>
      </w:tabs>
      <w:snapToGrid w:val="0"/>
      <w:jc w:val="left"/>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2022-11-28T07:21:00Z</dcterms:created>
  <dc:creator>芳宁玉文( ･᷄д･᷅ ）</dc:creator>
  <cp:lastModifiedBy>芳宁玉文( ･᷄д･᷅ ）</cp:lastModifiedBy>
  <dcterms:modified xsi:type="dcterms:W3CDTF">2022-11-28T07:23:25Z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ADDA48E5D5AF4D0593614CF694DE04FF</vt:lpwstr>
  </property>
</Properties>
</file>