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rPr>
          <w:rFonts w:ascii="黑体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年原12类基本公共卫生服务项目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主要目标任务</w:t>
      </w:r>
    </w:p>
    <w:p>
      <w:pPr>
        <w:adjustRightInd w:val="0"/>
        <w:snapToGrid w:val="0"/>
        <w:spacing w:line="560" w:lineRule="exact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以县（市、区）为单位：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——</w:t>
      </w:r>
      <w:r>
        <w:rPr>
          <w:rFonts w:hint="eastAsia" w:ascii="仿宋_GB2312" w:eastAsia="仿宋_GB2312"/>
          <w:color w:val="000000"/>
          <w:sz w:val="32"/>
          <w:szCs w:val="32"/>
        </w:rPr>
        <w:t>居民规范化电子健康档案覆盖率保持在6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%以上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——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各乡镇、街道适龄儿童国家免疫规划疫苗接种率保持在90%以上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——</w:t>
      </w:r>
      <w:r>
        <w:rPr>
          <w:rFonts w:hint="eastAsia" w:ascii="仿宋_GB2312" w:eastAsia="仿宋_GB2312" w:cs="Arial"/>
          <w:color w:val="000000"/>
          <w:sz w:val="32"/>
          <w:szCs w:val="32"/>
        </w:rPr>
        <w:t>7岁以下儿童健康管理率达到</w:t>
      </w:r>
      <w:r>
        <w:rPr>
          <w:rFonts w:hint="default" w:ascii="仿宋_GB2312" w:eastAsia="仿宋_GB2312" w:cs="Arial"/>
          <w:color w:val="000000"/>
          <w:sz w:val="32"/>
          <w:szCs w:val="32"/>
          <w:lang w:val="en"/>
        </w:rPr>
        <w:t>90</w:t>
      </w:r>
      <w:r>
        <w:rPr>
          <w:rFonts w:hint="eastAsia" w:ascii="仿宋_GB2312" w:eastAsia="仿宋_GB2312" w:cs="Arial"/>
          <w:color w:val="000000"/>
          <w:sz w:val="32"/>
          <w:szCs w:val="32"/>
        </w:rPr>
        <w:t>%以上，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0-6岁儿童眼保健和视力检查覆盖率保持在90%以上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——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3岁以下儿童系统管理率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达到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lang w:val="en" w:eastAsia="zh-CN"/>
        </w:rPr>
        <w:t>5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%以上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——</w:t>
      </w:r>
      <w:r>
        <w:rPr>
          <w:rFonts w:hint="eastAsia" w:ascii="仿宋_GB2312" w:eastAsia="仿宋_GB2312" w:cs="Arial"/>
          <w:color w:val="000000"/>
          <w:sz w:val="32"/>
          <w:szCs w:val="32"/>
        </w:rPr>
        <w:t>孕产妇系统管理率达到90%以上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——</w:t>
      </w:r>
      <w:r>
        <w:rPr>
          <w:rFonts w:hint="eastAsia" w:ascii="仿宋_GB2312" w:eastAsia="仿宋_GB2312"/>
          <w:color w:val="000000"/>
          <w:sz w:val="32"/>
          <w:szCs w:val="32"/>
        </w:rPr>
        <w:t>65岁及以上老年人城乡社区规范健康管理服务率达到</w:t>
      </w:r>
      <w:r>
        <w:rPr>
          <w:rFonts w:hint="eastAsia" w:ascii="仿宋_GB2312" w:eastAsia="仿宋_GB2312" w:cs="Arial"/>
          <w:color w:val="000000"/>
          <w:sz w:val="32"/>
          <w:szCs w:val="32"/>
        </w:rPr>
        <w:t>6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以上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——</w:t>
      </w:r>
      <w:r>
        <w:rPr>
          <w:rFonts w:hint="eastAsia" w:ascii="仿宋_GB2312" w:eastAsia="仿宋_GB2312" w:cs="Arial"/>
          <w:color w:val="000000"/>
          <w:sz w:val="32"/>
          <w:szCs w:val="32"/>
        </w:rPr>
        <w:t>高血压患者基层规范管理服务率达到6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Arial"/>
          <w:color w:val="000000"/>
          <w:sz w:val="32"/>
          <w:szCs w:val="32"/>
        </w:rPr>
        <w:t>%以上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——</w:t>
      </w:r>
      <w:r>
        <w:rPr>
          <w:rFonts w:hint="eastAsia" w:ascii="仿宋_GB2312" w:eastAsia="仿宋_GB2312" w:cs="Arial"/>
          <w:color w:val="000000"/>
          <w:sz w:val="32"/>
          <w:szCs w:val="32"/>
        </w:rPr>
        <w:t>2型糖尿病患者基层规范管理服务率达到6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Arial"/>
          <w:color w:val="000000"/>
          <w:sz w:val="32"/>
          <w:szCs w:val="32"/>
        </w:rPr>
        <w:t>%以上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——</w:t>
      </w:r>
      <w:r>
        <w:rPr>
          <w:rFonts w:hint="eastAsia" w:ascii="仿宋_GB2312" w:eastAsia="仿宋_GB2312" w:cs="Arial"/>
          <w:color w:val="000000"/>
          <w:sz w:val="32"/>
          <w:szCs w:val="32"/>
        </w:rPr>
        <w:t>社区在册居家严重精神障碍患者健康管理率达到80%以上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——</w:t>
      </w:r>
      <w:r>
        <w:rPr>
          <w:rFonts w:hint="eastAsia" w:ascii="仿宋_GB2312" w:eastAsia="仿宋_GB2312" w:cs="Arial"/>
          <w:color w:val="000000"/>
          <w:sz w:val="32"/>
          <w:szCs w:val="32"/>
        </w:rPr>
        <w:t>肺结核患者管理率达到90%以上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——</w:t>
      </w:r>
      <w:r>
        <w:rPr>
          <w:rFonts w:hint="eastAsia" w:ascii="仿宋_GB2312" w:eastAsia="仿宋_GB2312" w:cs="Arial"/>
          <w:color w:val="000000"/>
          <w:sz w:val="32"/>
          <w:szCs w:val="32"/>
        </w:rPr>
        <w:t>老年人、儿童中医药健康管理率分别达到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70</w:t>
      </w:r>
      <w:r>
        <w:rPr>
          <w:rFonts w:hint="eastAsia" w:ascii="仿宋_GB2312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77%</w:t>
      </w:r>
      <w:r>
        <w:rPr>
          <w:rFonts w:hint="eastAsia" w:ascii="仿宋_GB2312" w:eastAsia="仿宋_GB2312" w:cs="Arial"/>
          <w:color w:val="000000"/>
          <w:sz w:val="32"/>
          <w:szCs w:val="32"/>
        </w:rPr>
        <w:t>以上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——</w:t>
      </w:r>
      <w:r>
        <w:rPr>
          <w:rFonts w:hint="eastAsia" w:ascii="仿宋_GB2312" w:eastAsia="仿宋_GB2312" w:cs="Arial"/>
          <w:color w:val="000000"/>
          <w:sz w:val="32"/>
          <w:szCs w:val="32"/>
        </w:rPr>
        <w:t>传染病和突发公共卫生事件报告率和处置率均达到95%以上</w:t>
      </w:r>
    </w:p>
    <w:p>
      <w:pPr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</w:p>
    <w:p>
      <w:pPr>
        <w:adjustRightInd w:val="0"/>
        <w:snapToGrid w:val="0"/>
        <w:spacing w:line="540" w:lineRule="exact"/>
        <w:ind w:left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4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年各地市高血压和糖尿病患者管理任务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90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8"/>
        <w:gridCol w:w="3276"/>
        <w:gridCol w:w="3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259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cs="宋体"/>
                <w:b/>
                <w:color w:val="000000"/>
                <w:sz w:val="30"/>
                <w:szCs w:val="30"/>
                <w:lang w:bidi="ar-SA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cs="宋体"/>
                <w:b/>
                <w:color w:val="000000"/>
                <w:sz w:val="30"/>
                <w:szCs w:val="30"/>
                <w:lang w:bidi="ar-SA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right"/>
              <w:textAlignment w:val="center"/>
              <w:rPr>
                <w:rFonts w:hint="eastAsia" w:ascii="宋体" w:cs="宋体"/>
                <w:color w:val="000000"/>
                <w:sz w:val="30"/>
                <w:szCs w:val="30"/>
                <w:lang w:bidi="ar-SA"/>
              </w:rPr>
            </w:pPr>
            <w:r>
              <w:rPr>
                <w:rFonts w:hint="eastAsia" w:ascii="楷体_GB2312" w:eastAsia="楷体_GB2312" w:cs="楷体_GB2312"/>
                <w:color w:val="000000"/>
                <w:kern w:val="0"/>
                <w:sz w:val="32"/>
                <w:szCs w:val="32"/>
                <w:lang w:bidi="ar-SA"/>
              </w:rPr>
              <w:t>单位：万人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地区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高血压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-SA"/>
              </w:rPr>
              <w:t>糖尿病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32"/>
                <w:szCs w:val="32"/>
                <w:lang w:bidi="ar-SA"/>
              </w:rPr>
              <w:t>合计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eastAsia="仿宋_GB2312" w:cs="仿宋_GB2312"/>
                <w:b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32"/>
                <w:szCs w:val="32"/>
                <w:lang w:bidi="ar-SA"/>
              </w:rPr>
              <w:t>2</w:t>
            </w:r>
            <w:r>
              <w:rPr>
                <w:rFonts w:hint="eastAsia" w:ascii="仿宋_GB2312" w:eastAsia="仿宋_GB2312" w:cs="仿宋_GB2312"/>
                <w:b/>
                <w:color w:val="000000"/>
                <w:sz w:val="32"/>
                <w:szCs w:val="32"/>
                <w:lang w:val="en-US" w:eastAsia="zh-CN" w:bidi="ar-SA"/>
              </w:rPr>
              <w:t>70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32"/>
                <w:szCs w:val="32"/>
                <w:lang w:bidi="ar-SA"/>
              </w:rPr>
              <w:t>8</w:t>
            </w:r>
            <w:r>
              <w:rPr>
                <w:rFonts w:hint="eastAsia" w:ascii="仿宋_GB2312" w:eastAsia="仿宋_GB2312" w:cs="仿宋_GB2312"/>
                <w:b/>
                <w:color w:val="000000"/>
                <w:sz w:val="32"/>
                <w:szCs w:val="32"/>
                <w:lang w:val="en-US" w:eastAsia="zh-CN" w:bidi="ar-SA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bidi="ar-SA"/>
              </w:rPr>
              <w:t>南宁市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8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.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11.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bidi="ar-SA"/>
              </w:rPr>
              <w:t>柳州市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19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.9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6.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bidi="ar-SA"/>
              </w:rPr>
              <w:t>桂林市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9.87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9.68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bidi="ar-SA"/>
              </w:rPr>
              <w:t>梧州市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7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.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75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.9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bidi="ar-SA"/>
              </w:rPr>
              <w:t>北海市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8.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36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2.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bidi="ar-SA"/>
              </w:rPr>
              <w:t>防城港市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.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21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1.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bidi="ar-SA"/>
              </w:rPr>
              <w:t>钦州市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8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.1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5.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bidi="ar-SA"/>
              </w:rPr>
              <w:t>贵港市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22.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65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6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.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6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bidi="ar-SA"/>
              </w:rPr>
              <w:t>玉林市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.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98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11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.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bidi="ar-SA"/>
              </w:rPr>
              <w:t>百色市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20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.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78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5.9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bidi="ar-SA"/>
              </w:rPr>
              <w:t>贺州市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10.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33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3.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bidi="ar-SA"/>
              </w:rPr>
              <w:t>河池市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22.13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5.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bidi="ar-SA"/>
              </w:rPr>
              <w:t>来宾市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11.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36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3.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46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exact"/>
          <w:jc w:val="center"/>
        </w:trPr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bidi="ar-SA"/>
              </w:rPr>
              <w:t>崇左市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.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57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bidi="ar-SA"/>
              </w:rPr>
              <w:t>3.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28</w:t>
            </w:r>
          </w:p>
        </w:tc>
      </w:tr>
    </w:tbl>
    <w:p>
      <w:pPr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br w:type="page"/>
      </w:r>
    </w:p>
    <w:p>
      <w:pPr>
        <w:adjustRightInd w:val="0"/>
        <w:snapToGrid w:val="0"/>
        <w:spacing w:line="560" w:lineRule="exact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年基本公共卫生服务补助资金到位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宋体" w:hAnsi="宋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情况统计表</w:t>
      </w:r>
    </w:p>
    <w:p>
      <w:pPr>
        <w:spacing w:line="440" w:lineRule="exact"/>
        <w:rPr>
          <w:rFonts w:ascii="宋体" w:hAnsi="宋体"/>
          <w:b/>
          <w:sz w:val="32"/>
        </w:rPr>
      </w:pPr>
    </w:p>
    <w:tbl>
      <w:tblPr>
        <w:tblStyle w:val="6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247"/>
        <w:gridCol w:w="1188"/>
        <w:gridCol w:w="1114"/>
        <w:gridCol w:w="920"/>
        <w:gridCol w:w="740"/>
        <w:gridCol w:w="860"/>
        <w:gridCol w:w="740"/>
        <w:gridCol w:w="820"/>
        <w:gridCol w:w="1220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0" w:hRule="atLeast"/>
          <w:jc w:val="center"/>
        </w:trPr>
        <w:tc>
          <w:tcPr>
            <w:tcW w:w="5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设区市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年人均基本公共卫生服务补助标准（元，以本地区发文规定的标准为准）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年人均基本公共卫生服务补助标准（元，以本地区发文规定的标准为准）</w:t>
            </w:r>
          </w:p>
        </w:tc>
        <w:tc>
          <w:tcPr>
            <w:tcW w:w="519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年预算下达数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（含年初预算安排数和执行中调整预算数，以下达预算指标文件为准）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年资金实际下达数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（万元，含中央资金和地方资金，以国库支出数为准）</w:t>
            </w:r>
          </w:p>
        </w:tc>
        <w:tc>
          <w:tcPr>
            <w:tcW w:w="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5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小计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（万元）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中央财政下达数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（万元）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自治区财政下达数（万元）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地方财政下达数（万元）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本地区常住人口数（万人）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2021年人均金额（元）</w:t>
            </w:r>
          </w:p>
        </w:tc>
        <w:tc>
          <w:tcPr>
            <w:tcW w:w="1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D=E+F+G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F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I=D/H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</w:rPr>
        <w:t>资金拨付日期截至12月31日，报送截止时间为次年1月5日。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</w:rPr>
        <w:t>各地数据以市为单位统一报送。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</w:rPr>
        <w:t>资金未按序时进度到位，或在规定时间节点未完全到位的，请在备注栏说明情况。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</w:rPr>
        <w:t>统计表由各市级卫生健康行政部门会同汇总财政部门后报送，需同时加盖市级卫生健康、财政部门公章。</w:t>
      </w:r>
    </w:p>
    <w:p>
      <w:bookmarkStart w:id="0" w:name="_GoBack"/>
      <w:bookmarkEnd w:id="0"/>
    </w:p>
    <w:sectPr>
      <w:pgSz w:w="11907" w:h="16840"/>
      <w:pgMar w:top="1701" w:right="1418" w:bottom="1417" w:left="1701" w:header="851" w:footer="992" w:gutter="0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jQ4ZjMxMmVlZWQ0NDJmZDFhOTdmMzE0NDdjMWQifQ=="/>
  </w:docVars>
  <w:rsids>
    <w:rsidRoot w:val="73EC106B"/>
    <w:rsid w:val="06026959"/>
    <w:rsid w:val="73EC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/>
      <w:jc w:val="both"/>
    </w:pPr>
    <w:rPr>
      <w:rFonts w:cs="Arial" w:asciiTheme="minorHAnsi" w:hAnsiTheme="minorHAnsi" w:eastAsiaTheme="minorEastAsia"/>
      <w:kern w:val="2"/>
      <w:sz w:val="21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cs="Cambria" w:eastAsiaTheme="minorEastAsia"/>
      <w:b/>
      <w:bCs/>
      <w:kern w:val="2"/>
      <w:sz w:val="32"/>
      <w:szCs w:val="32"/>
      <w:lang w:val="en-US" w:eastAsia="zh-CN" w:bidi="ar-SA"/>
    </w:rPr>
  </w:style>
  <w:style w:type="paragraph" w:styleId="4">
    <w:name w:val="Body Text First Indent 2"/>
    <w:qFormat/>
    <w:uiPriority w:val="99"/>
    <w:pPr>
      <w:widowControl w:val="0"/>
      <w:spacing w:after="120"/>
      <w:ind w:firstLine="420"/>
      <w:jc w:val="both"/>
    </w:pPr>
    <w:rPr>
      <w:rFonts w:eastAsia="仿宋_GB2312" w:cs="Arial" w:asciiTheme="minorHAnsi" w:hAnsiTheme="minorHAnsi"/>
      <w:kern w:val="2"/>
      <w:sz w:val="32"/>
      <w:szCs w:val="32"/>
      <w:lang w:val="en-US" w:eastAsia="zh-CN" w:bidi="ar-SA"/>
    </w:rPr>
  </w:style>
  <w:style w:type="table" w:styleId="6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2022-11-28T01:52:00Z</dcterms:created>
  <dc:creator>worker</dc:creator>
  <cp:lastModifiedBy>worker</cp:lastModifiedBy>
  <dcterms:modified xsi:type="dcterms:W3CDTF">2022-11-28T01:54:02Z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3C7615EBE57045E8A78BD8EF0BA81C56</vt:lpwstr>
  </property>
</Properties>
</file>