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</w:pPr>
      <w:r>
        <w:rPr>
          <w:rFonts w:hint="default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  <w:t>配合评估材料清单</w:t>
      </w:r>
    </w:p>
    <w:p>
      <w:pPr>
        <w:pStyle w:val="3"/>
        <w:pageBreakBefore w:val="0"/>
        <w:widowControl/>
        <w:wordWrap/>
        <w:topLinePunct w:val="0"/>
        <w:bidi w:val="0"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eastAsia="zh-CN"/>
        </w:rPr>
        <w:t>（参考）</w:t>
      </w:r>
    </w:p>
    <w:p>
      <w:pPr>
        <w:pageBreakBefore w:val="0"/>
        <w:wordWrap/>
        <w:topLinePunct w:val="0"/>
        <w:bidi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</w:pPr>
    </w:p>
    <w:p>
      <w:pPr>
        <w:pStyle w:val="3"/>
        <w:pageBreakBefore w:val="0"/>
        <w:widowControl/>
        <w:wordWrap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一、医疗机构需准备的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  <w:t>评估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材料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.医生、护士、医药学技术人员相关证书，有劳务关系的需提供劳动合同或劳务合同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二级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以上医疗机构应提供每类人员至少2名相关证书及劳动合同或劳务合同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 xml:space="preserve"> ;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.开设的与服务功能相适应的诊断、治疗、手术、住院、药品贮存及发放、检查检验放射等科室及主要仪器设备列表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</w:rPr>
        <w:t>加盖单位公章的原件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PDF扫描件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；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.卫生健康部门医疗机构评审的结果原件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</w:rPr>
        <w:t>加盖单位公章的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PDF扫描件；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4.近三个月医疗服务（含基本医疗服务以及医疗美容、辅助生殖、生活照护、种植牙等非基本医疗服务）总量及发生的医疗费用明细原件及数据电子件；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.申请生育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的需提供：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母婴保健技术服务执业许可证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正、副本原件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</w:rPr>
        <w:t>加盖单位公章复印件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PDF扫描件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；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事业单位法人证书或民办非企业单位登记证书或营业执照正、副本原件及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PDF扫描件；其他无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eastAsia="zh-CN"/>
        </w:rPr>
        <w:t>事业单位法人证书或民办非企业单位登记证书提供其设立机构的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事业单位法人证书或民办非企业单位登记证书；统一社会信用代码证，医疗机构级别证明文书（未评级除外）；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</w:rPr>
        <w:t>法定代表人、主要负责人或实际控制人身份证原件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PDF扫描件；</w:t>
      </w:r>
    </w:p>
    <w:p>
      <w:pPr>
        <w:pStyle w:val="2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8.有劳务关系的医保专（兼）职人员需提供劳动合同或劳务合同；</w:t>
      </w:r>
    </w:p>
    <w:p>
      <w:pPr>
        <w:pStyle w:val="2"/>
        <w:pageBreakBefore w:val="0"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6"/>
          <w:w w:val="100"/>
          <w:kern w:val="0"/>
          <w:sz w:val="32"/>
          <w:szCs w:val="32"/>
          <w:highlight w:val="none"/>
          <w:shd w:val="clear" w:color="auto" w:fill="auto"/>
          <w:lang w:val="en-US" w:eastAsia="zh-CN"/>
        </w:rPr>
        <w:t>9.营业场所所产权证、使用权证或租赁合同。</w:t>
      </w:r>
    </w:p>
    <w:p>
      <w:pPr>
        <w:pStyle w:val="2"/>
        <w:pageBreakBefore w:val="0"/>
        <w:wordWrap/>
        <w:topLinePunct w:val="0"/>
        <w:bidi w:val="0"/>
        <w:spacing w:line="560" w:lineRule="exac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val="en-US" w:eastAsia="zh-CN"/>
        </w:rPr>
        <w:t>二、零售药店需准备的评估材料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</w:rPr>
        <w:t>药店正门开业状态照片电子件（需包含药店招牌、名称、门牌号码）；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</w:rPr>
        <w:t>.医保药品标识照片电子件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eastAsia="zh-CN"/>
        </w:rPr>
        <w:t>；</w:t>
      </w: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4"/>
          <w:w w:val="100"/>
          <w:sz w:val="32"/>
          <w:szCs w:val="32"/>
          <w:highlight w:val="none"/>
          <w:shd w:val="clear" w:color="auto" w:fill="auto"/>
          <w:lang w:eastAsia="zh-CN"/>
        </w:rPr>
        <w:t>销售药品及其他规定用品的服务场所产权证、使用权证或租赁合同。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20BD2363"/>
    <w:rsid w:val="20B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2022-11-17T10:50:00Z</dcterms:created>
  <dc:creator>Administrator</dc:creator>
  <cp:lastModifiedBy>Administrator</cp:lastModifiedBy>
  <dcterms:modified xsi:type="dcterms:W3CDTF">2022-11-17T10:51:06Z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41048192B03A43B48E23C8541B6C76CB</vt:lpwstr>
  </property>
</Properties>
</file>