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w:t>
      </w:r>
      <w:r>
        <w:rPr>
          <w:rFonts w:hint="eastAsia" w:ascii="方正小标宋简体" w:hAnsi="方正小标宋简体" w:eastAsia="方正小标宋简体" w:cs="方正小标宋简体"/>
          <w:sz w:val="44"/>
          <w:szCs w:val="44"/>
        </w:rPr>
        <w:t>浙江省职业病诊断医师管理办法</w:t>
      </w:r>
    </w:p>
    <w:p>
      <w:pPr>
        <w:spacing w:line="660" w:lineRule="exact"/>
        <w:jc w:val="center"/>
        <w:rPr>
          <w:rFonts w:eastAsia="方正小标宋简体"/>
          <w:b/>
          <w:sz w:val="40"/>
          <w:szCs w:val="40"/>
        </w:rPr>
      </w:pPr>
      <w:r>
        <w:rPr>
          <w:rFonts w:hint="eastAsia" w:ascii="Times New Roman" w:hAnsi="Times New Roman" w:eastAsia="方正小标宋简体"/>
          <w:sz w:val="44"/>
          <w:szCs w:val="44"/>
          <w:lang w:eastAsia="zh-CN"/>
        </w:rPr>
        <w:t>（征求意见稿）》</w:t>
      </w:r>
      <w:r>
        <w:rPr>
          <w:rFonts w:ascii="Times New Roman" w:hAnsi="Times New Roman" w:eastAsia="方正小标宋简体"/>
          <w:sz w:val="44"/>
          <w:szCs w:val="44"/>
        </w:rPr>
        <w:t>起草</w:t>
      </w:r>
      <w:r>
        <w:rPr>
          <w:rFonts w:hint="eastAsia" w:ascii="Times New Roman" w:hAnsi="Times New Roman" w:eastAsia="方正小标宋简体"/>
          <w:sz w:val="44"/>
          <w:szCs w:val="44"/>
        </w:rPr>
        <w:t>说明</w:t>
      </w:r>
    </w:p>
    <w:p>
      <w:pPr>
        <w:adjustRightInd w:val="0"/>
        <w:snapToGrid w:val="0"/>
        <w:spacing w:line="660" w:lineRule="exact"/>
        <w:ind w:firstLine="2907" w:firstLineChars="900"/>
        <w:rPr>
          <w:rFonts w:ascii="仿宋" w:hAnsi="仿宋" w:eastAsia="仿宋"/>
          <w:b/>
          <w:color w:val="000000" w:themeColor="text1"/>
          <w:sz w:val="32"/>
          <w:szCs w:val="32"/>
          <w14:textFill>
            <w14:solidFill>
              <w14:schemeClr w14:val="tx1"/>
            </w14:solidFill>
          </w14:textFill>
        </w:rPr>
      </w:pPr>
    </w:p>
    <w:p>
      <w:pPr>
        <w:spacing w:line="640" w:lineRule="atLeast"/>
        <w:ind w:left="426" w:leftChars="200" w:firstLine="323" w:firstLineChars="100"/>
        <w:rPr>
          <w:rFonts w:ascii="黑体" w:hAnsi="黑体" w:eastAsia="黑体"/>
          <w:sz w:val="32"/>
          <w:szCs w:val="32"/>
        </w:rPr>
      </w:pPr>
      <w:r>
        <w:rPr>
          <w:rFonts w:hint="eastAsia" w:ascii="黑体" w:hAnsi="黑体" w:eastAsia="黑体"/>
          <w:sz w:val="32"/>
          <w:szCs w:val="32"/>
        </w:rPr>
        <w:t>一、起草背景</w:t>
      </w:r>
    </w:p>
    <w:p>
      <w:pPr>
        <w:spacing w:line="640" w:lineRule="atLeast"/>
        <w:ind w:firstLine="646" w:firstLineChars="200"/>
        <w:rPr>
          <w:rFonts w:ascii="仿宋_GB2312" w:hAnsi="Calibri" w:eastAsia="仿宋_GB2312"/>
          <w:sz w:val="32"/>
          <w:szCs w:val="32"/>
        </w:rPr>
      </w:pPr>
      <w:r>
        <w:rPr>
          <w:rFonts w:hint="eastAsia" w:ascii="仿宋_GB2312" w:hAnsi="Calibri" w:eastAsia="仿宋_GB2312"/>
          <w:sz w:val="32"/>
          <w:szCs w:val="32"/>
        </w:rPr>
        <w:t>职业病诊断医师与临床上的</w:t>
      </w:r>
      <w:r>
        <w:rPr>
          <w:rFonts w:hint="eastAsia" w:ascii="仿宋_GB2312" w:hAnsi="Calibri" w:eastAsia="仿宋_GB2312"/>
          <w:color w:val="0000FF"/>
          <w:sz w:val="32"/>
          <w:szCs w:val="32"/>
          <w:lang w:val="en-US" w:eastAsia="zh-CN"/>
        </w:rPr>
        <w:t>其他</w:t>
      </w:r>
      <w:r>
        <w:rPr>
          <w:rFonts w:hint="eastAsia" w:ascii="仿宋_GB2312" w:hAnsi="Calibri" w:eastAsia="仿宋_GB2312"/>
          <w:sz w:val="32"/>
          <w:szCs w:val="32"/>
        </w:rPr>
        <w:t>医师在专业知识要求与诊断思维上存在比较大的差别，职业病诊断属于归因诊断，需要运用职业卫生与临床医学等学科知识，综合判定劳动者的疾病或健康损害与工作场所职业病危害因素之间是否存在因果关系。我国的《职业病防治法》《职业病诊断与鉴定管理办法》《职业健康检查管理办法》等法律法规均规定从事职业病诊断、职业健康检查主检工作的执业医师应取得职业病诊断医师资格。人力资源社会保障部的《国家职业资格目录（2021版）》也将职业病诊断医师资格纳入其中。根据《国务院办公厅关于全面实行行政许可事项清单管理的通知》（国办发〔2022〕2号）的要求，省级卫生健康行政部门负责职业病诊断医师资格的管理。因此，为加强全省职业病诊断医师队伍建设，规范职业病诊断行为，提高专业技术水平，保障职业病诊断医师合法权益，结合我省实际，制定本办法</w:t>
      </w:r>
      <w:r>
        <w:rPr>
          <w:rFonts w:hint="eastAsia" w:ascii="仿宋_GB2312" w:hAnsi="Calibri" w:eastAsia="仿宋_GB2312"/>
          <w:sz w:val="32"/>
          <w:szCs w:val="32"/>
          <w:lang w:eastAsia="zh-CN"/>
        </w:rPr>
        <w:t>（以下简称《办法》）</w:t>
      </w:r>
      <w:r>
        <w:rPr>
          <w:rFonts w:hint="eastAsia" w:ascii="仿宋_GB2312" w:hAnsi="Calibri" w:eastAsia="仿宋_GB2312"/>
          <w:sz w:val="32"/>
          <w:szCs w:val="32"/>
        </w:rPr>
        <w:t>。</w:t>
      </w:r>
    </w:p>
    <w:p>
      <w:pPr>
        <w:spacing w:line="640" w:lineRule="atLeast"/>
        <w:ind w:left="426" w:leftChars="200" w:firstLine="323" w:firstLineChars="100"/>
        <w:rPr>
          <w:rFonts w:ascii="黑体" w:hAnsi="黑体" w:eastAsia="黑体"/>
          <w:sz w:val="32"/>
          <w:szCs w:val="32"/>
        </w:rPr>
      </w:pPr>
      <w:r>
        <w:rPr>
          <w:rFonts w:hint="eastAsia" w:ascii="黑体" w:hAnsi="黑体" w:eastAsia="黑体"/>
          <w:sz w:val="32"/>
          <w:szCs w:val="32"/>
        </w:rPr>
        <w:t>二、起草依据</w:t>
      </w:r>
    </w:p>
    <w:p>
      <w:pPr>
        <w:spacing w:line="640" w:lineRule="atLeast"/>
        <w:ind w:firstLine="646" w:firstLineChars="200"/>
        <w:rPr>
          <w:rFonts w:ascii="仿宋_GB2312" w:hAnsi="Calibri" w:eastAsia="仿宋_GB2312"/>
          <w:sz w:val="32"/>
          <w:szCs w:val="32"/>
        </w:rPr>
      </w:pPr>
      <w:r>
        <w:rPr>
          <w:rFonts w:hint="eastAsia" w:ascii="仿宋_GB2312" w:hAnsi="宋体" w:eastAsia="仿宋_GB2312" w:cs="宋体"/>
          <w:color w:val="000000"/>
          <w:sz w:val="32"/>
          <w:szCs w:val="32"/>
        </w:rPr>
        <w:t>主要依据《中华人民共和国职业病防治法》《中华人民共和国医师法》《职业病诊断与鉴定管理办法》</w:t>
      </w:r>
      <w:r>
        <w:rPr>
          <w:rFonts w:hint="eastAsia" w:ascii="仿宋_GB2312" w:hAnsi="Calibri" w:eastAsia="仿宋_GB2312"/>
          <w:sz w:val="32"/>
          <w:szCs w:val="32"/>
        </w:rPr>
        <w:t>《职业健康检查管理办法》</w:t>
      </w:r>
      <w:r>
        <w:rPr>
          <w:rFonts w:hint="eastAsia" w:ascii="Calibri" w:hAnsi="Calibri" w:eastAsia="仿宋_GB2312" w:cs="Calibri"/>
          <w:color w:val="000000"/>
          <w:sz w:val="32"/>
          <w:szCs w:val="32"/>
        </w:rPr>
        <w:t>等法律、法规。</w:t>
      </w:r>
      <w:r>
        <w:rPr>
          <w:rFonts w:hint="eastAsia" w:ascii="仿宋_GB2312" w:hAnsi="Calibri" w:eastAsia="仿宋_GB2312"/>
          <w:sz w:val="32"/>
          <w:szCs w:val="32"/>
        </w:rPr>
        <w:t>《职业病防治法》第四十六条规定，职业病诊断证明书应当由参与诊断的取得职业病诊断资格的执业医师签署。《职业病诊断与鉴定管理办法》第十六条规定，从事职业病诊断的医师应具备一定的条件，并取得省级卫生健康主管部门颁发的职业病诊断资格证书。《职业健康检查管理办法》第五条规定，承担职业健康检查的医疗卫生机构应当具备条件之一：至少具有1名取得职业病诊断资格的执业医师。</w:t>
      </w:r>
    </w:p>
    <w:p>
      <w:pPr>
        <w:adjustRightInd w:val="0"/>
        <w:snapToGrid w:val="0"/>
        <w:spacing w:line="640" w:lineRule="atLeast"/>
        <w:ind w:firstLine="646" w:firstLineChars="200"/>
        <w:rPr>
          <w:rFonts w:ascii="楷体_GB2312" w:hAnsi="楷体_GB2312" w:eastAsia="楷体_GB2312" w:cs="楷体_GB2312"/>
          <w:b/>
          <w:bCs/>
          <w:sz w:val="32"/>
          <w:szCs w:val="32"/>
        </w:rPr>
      </w:pPr>
      <w:r>
        <w:rPr>
          <w:rFonts w:hint="eastAsia" w:ascii="黑体" w:hAnsi="黑体" w:eastAsia="黑体"/>
          <w:sz w:val="32"/>
          <w:szCs w:val="32"/>
        </w:rPr>
        <w:t>三、主要内容</w:t>
      </w:r>
    </w:p>
    <w:p>
      <w:pPr>
        <w:adjustRightInd w:val="0"/>
        <w:snapToGrid w:val="0"/>
        <w:spacing w:line="640" w:lineRule="atLeast"/>
        <w:ind w:firstLine="646" w:firstLineChars="200"/>
        <w:rPr>
          <w:rFonts w:ascii="仿宋_GB2312" w:hAnsi="Calibri" w:eastAsia="仿宋_GB2312"/>
          <w:sz w:val="32"/>
          <w:szCs w:val="32"/>
        </w:rPr>
      </w:pPr>
      <w:r>
        <w:rPr>
          <w:rFonts w:hint="eastAsia" w:ascii="仿宋_GB2312" w:hAnsi="Calibri" w:eastAsia="仿宋_GB2312"/>
          <w:sz w:val="32"/>
          <w:szCs w:val="32"/>
        </w:rPr>
        <w:t>《办法》共二十一条，包含附件《浙江省职业病诊断医师资格申请表》《浙江省职业病诊断医师资格变更申请表》。</w:t>
      </w:r>
    </w:p>
    <w:p>
      <w:pPr>
        <w:numPr>
          <w:ilvl w:val="0"/>
          <w:numId w:val="1"/>
        </w:numPr>
        <w:adjustRightInd w:val="0"/>
        <w:snapToGrid w:val="0"/>
        <w:spacing w:line="640" w:lineRule="atLeast"/>
        <w:ind w:firstLine="64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正文主要内容</w:t>
      </w:r>
    </w:p>
    <w:p>
      <w:pPr>
        <w:adjustRightInd w:val="0"/>
        <w:snapToGrid w:val="0"/>
        <w:spacing w:line="640" w:lineRule="atLeast"/>
        <w:ind w:firstLine="646" w:firstLineChars="200"/>
        <w:rPr>
          <w:rFonts w:ascii="仿宋_GB2312" w:hAnsi="Calibri" w:eastAsia="仿宋_GB2312"/>
          <w:sz w:val="32"/>
          <w:szCs w:val="32"/>
        </w:rPr>
      </w:pPr>
      <w:r>
        <w:rPr>
          <w:rFonts w:hint="eastAsia" w:ascii="仿宋_GB2312" w:hAnsi="Calibri" w:eastAsia="仿宋_GB2312"/>
          <w:sz w:val="32"/>
          <w:szCs w:val="32"/>
        </w:rPr>
        <w:t>一是总则，标明《办法》出台的依据、适用范围和各部门职责。</w:t>
      </w:r>
    </w:p>
    <w:p>
      <w:pPr>
        <w:adjustRightInd w:val="0"/>
        <w:snapToGrid w:val="0"/>
        <w:spacing w:line="640" w:lineRule="atLeast"/>
        <w:ind w:firstLine="646" w:firstLineChars="200"/>
        <w:rPr>
          <w:rFonts w:ascii="仿宋_GB2312" w:hAnsi="Calibri" w:eastAsia="仿宋_GB2312"/>
          <w:sz w:val="32"/>
          <w:szCs w:val="32"/>
        </w:rPr>
      </w:pPr>
      <w:r>
        <w:rPr>
          <w:rFonts w:hint="eastAsia" w:ascii="仿宋_GB2312" w:hAnsi="Calibri" w:eastAsia="仿宋_GB2312"/>
          <w:sz w:val="32"/>
          <w:szCs w:val="32"/>
        </w:rPr>
        <w:t>二是培训考核，明确了职业病诊断医师资格考核的四个类别及其需要培训学习的相关内容，并指定省职业病防治培训中心负责组织实施相关培训和考核。考核合格可获得证明文件，作为取得职业病诊断资格证书的条件之一。考虑到职业性噪声聋已成为我省第二大职业病，噪声聋的筛查和诊断已是职业健康检查和职业病诊断机构的重要工作，而噪声聋诊断的培训学习内容与职业中毒类别又存在很大差异，将其归于“职业中毒及其他”类别进行培训，已与实际情况相脱节，因此将“职业中毒及其他”类别分为“职业性化学中毒”</w:t>
      </w:r>
      <w:bookmarkStart w:id="0" w:name="_GoBack"/>
      <w:r>
        <w:rPr>
          <w:rFonts w:hint="eastAsia" w:ascii="仿宋_GB2312" w:hAnsi="Calibri" w:eastAsia="仿宋_GB2312"/>
          <w:color w:val="0000FF"/>
          <w:sz w:val="32"/>
          <w:szCs w:val="32"/>
          <w:lang w:val="en-US" w:eastAsia="zh-CN"/>
        </w:rPr>
        <w:t>和</w:t>
      </w:r>
      <w:bookmarkEnd w:id="0"/>
      <w:r>
        <w:rPr>
          <w:rFonts w:hint="eastAsia" w:ascii="仿宋_GB2312" w:hAnsi="Calibri" w:eastAsia="仿宋_GB2312"/>
          <w:sz w:val="32"/>
          <w:szCs w:val="32"/>
        </w:rPr>
        <w:t>“</w:t>
      </w:r>
      <w:r>
        <w:rPr>
          <w:rFonts w:hint="eastAsia" w:ascii="仿宋_GB2312" w:hAnsi="Calibri" w:eastAsia="仿宋_GB2312"/>
          <w:sz w:val="32"/>
          <w:szCs w:val="32"/>
          <w:lang w:eastAsia="zh-CN"/>
        </w:rPr>
        <w:t>其他类</w:t>
      </w:r>
      <w:r>
        <w:rPr>
          <w:rFonts w:hint="eastAsia" w:ascii="仿宋_GB2312" w:hAnsi="Calibri" w:eastAsia="仿宋_GB2312"/>
          <w:sz w:val="32"/>
          <w:szCs w:val="32"/>
        </w:rPr>
        <w:t>”两个类别。</w:t>
      </w:r>
    </w:p>
    <w:p>
      <w:pPr>
        <w:adjustRightInd w:val="0"/>
        <w:snapToGrid w:val="0"/>
        <w:spacing w:line="640" w:lineRule="atLeast"/>
        <w:ind w:firstLine="646" w:firstLineChars="200"/>
        <w:rPr>
          <w:rFonts w:ascii="仿宋_GB2312" w:hAnsi="Calibri" w:eastAsia="仿宋_GB2312"/>
          <w:sz w:val="32"/>
          <w:szCs w:val="32"/>
        </w:rPr>
      </w:pPr>
      <w:r>
        <w:rPr>
          <w:rFonts w:hint="eastAsia" w:ascii="仿宋_GB2312" w:hAnsi="Calibri" w:eastAsia="仿宋_GB2312"/>
          <w:sz w:val="32"/>
          <w:szCs w:val="32"/>
        </w:rPr>
        <w:t>三是资格认定，主要明确了申请职业病诊断医师资格证书时需具备的条件以及申请、变更流程。申请的职业病诊断医师资格类别与培训考核类别相对应。</w:t>
      </w:r>
    </w:p>
    <w:p>
      <w:pPr>
        <w:spacing w:line="660" w:lineRule="exact"/>
        <w:ind w:firstLine="646" w:firstLineChars="200"/>
        <w:rPr>
          <w:rFonts w:ascii="仿宋_GB2312" w:hAnsi="Calibri" w:eastAsia="仿宋_GB2312"/>
          <w:sz w:val="32"/>
          <w:szCs w:val="32"/>
        </w:rPr>
      </w:pPr>
      <w:r>
        <w:rPr>
          <w:rFonts w:hint="eastAsia" w:ascii="仿宋_GB2312" w:hAnsi="Calibri" w:eastAsia="仿宋_GB2312"/>
          <w:sz w:val="32"/>
          <w:szCs w:val="32"/>
        </w:rPr>
        <w:t>四是日常管理，明确了职业病诊断医师应在其资格范围内从事职业病诊断、职业健康检查主检工作，以及注销资格的相关情形。《办法》规定了</w:t>
      </w:r>
      <w:r>
        <w:rPr>
          <w:rFonts w:hint="eastAsia" w:ascii="仿宋_GB2312" w:hAnsi="宋体" w:eastAsia="仿宋_GB2312" w:cs="宋体"/>
          <w:color w:val="000000"/>
          <w:sz w:val="32"/>
          <w:szCs w:val="32"/>
        </w:rPr>
        <w:t>职业病诊断医师应当每四年至少参加一次相关诊断类别的省级以上职业病诊断医师继续教育。</w:t>
      </w:r>
    </w:p>
    <w:p>
      <w:pPr>
        <w:spacing w:line="660" w:lineRule="exact"/>
        <w:ind w:firstLine="646" w:firstLineChars="200"/>
        <w:rPr>
          <w:rFonts w:ascii="仿宋_GB2312" w:hAnsi="Calibri" w:eastAsia="仿宋_GB2312"/>
          <w:sz w:val="32"/>
          <w:szCs w:val="32"/>
        </w:rPr>
      </w:pPr>
      <w:r>
        <w:rPr>
          <w:rFonts w:hint="eastAsia" w:ascii="仿宋_GB2312" w:hAnsi="Calibri" w:eastAsia="仿宋_GB2312"/>
          <w:sz w:val="32"/>
          <w:szCs w:val="32"/>
        </w:rPr>
        <w:t>五是附则，明确了本办法实施前取得的职业病诊断资格证书继续有效，并在三个月内对原证书进行换证。</w:t>
      </w:r>
    </w:p>
    <w:p>
      <w:pPr>
        <w:adjustRightInd w:val="0"/>
        <w:snapToGrid w:val="0"/>
        <w:spacing w:line="640" w:lineRule="atLeast"/>
        <w:ind w:firstLine="64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（二）附件主要内容</w:t>
      </w:r>
    </w:p>
    <w:p>
      <w:pPr>
        <w:spacing w:line="640" w:lineRule="atLeast"/>
        <w:ind w:firstLine="646" w:firstLineChars="200"/>
        <w:rPr>
          <w:rFonts w:ascii="仿宋_GB2312" w:hAnsi="Calibri" w:eastAsia="仿宋_GB2312"/>
          <w:sz w:val="32"/>
          <w:szCs w:val="32"/>
        </w:rPr>
      </w:pPr>
      <w:r>
        <w:rPr>
          <w:rFonts w:hint="eastAsia" w:ascii="仿宋_GB2312" w:hAnsi="Calibri" w:eastAsia="仿宋_GB2312"/>
          <w:sz w:val="32"/>
          <w:szCs w:val="32"/>
        </w:rPr>
        <w:t>附件《浙江省职业病诊断医师资格申请表》《浙江省职业病诊断医师资格变更申请表》为执业医师向资格认定机关申请及办理变更所要提交的表单，同时表单中也包含了要求提供的相关资料。</w:t>
      </w:r>
    </w:p>
    <w:sectPr>
      <w:footerReference r:id="rId3" w:type="default"/>
      <w:pgSz w:w="11906" w:h="16838"/>
      <w:pgMar w:top="1440" w:right="1797" w:bottom="1440" w:left="1797" w:header="851" w:footer="992" w:gutter="0"/>
      <w:cols w:space="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3BFF42-1F9C-4B11-97CE-2A6EED3635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C50E2D-87C7-46F0-9C87-5225164EBAFE}"/>
  </w:font>
  <w:font w:name="方正小标宋简体">
    <w:panose1 w:val="02000000000000000000"/>
    <w:charset w:val="86"/>
    <w:family w:val="auto"/>
    <w:pitch w:val="default"/>
    <w:sig w:usb0="00000001" w:usb1="08000000" w:usb2="00000000" w:usb3="00000000" w:csb0="00040000" w:csb1="00000000"/>
    <w:embedRegular r:id="rId3" w:fontKey="{BAF6CBD1-9C0D-4D4F-B0C0-F4AE69C1D80C}"/>
  </w:font>
  <w:font w:name="仿宋">
    <w:panose1 w:val="02010609060101010101"/>
    <w:charset w:val="86"/>
    <w:family w:val="modern"/>
    <w:pitch w:val="default"/>
    <w:sig w:usb0="800002BF" w:usb1="38CF7CFA" w:usb2="00000016" w:usb3="00000000" w:csb0="00040001" w:csb1="00000000"/>
    <w:embedRegular r:id="rId4" w:fontKey="{B66E9CFB-4063-4ED1-859E-4CEA0FCF4D4C}"/>
  </w:font>
  <w:font w:name="仿宋_GB2312">
    <w:panose1 w:val="02010609030101010101"/>
    <w:charset w:val="86"/>
    <w:family w:val="modern"/>
    <w:pitch w:val="default"/>
    <w:sig w:usb0="00000001" w:usb1="080E0000" w:usb2="00000000" w:usb3="00000000" w:csb0="00040000" w:csb1="00000000"/>
    <w:embedRegular r:id="rId5" w:fontKey="{4CC426FB-BD5B-40B8-AE7D-595D83E7F313}"/>
  </w:font>
  <w:font w:name="楷体_GB2312">
    <w:altName w:val="楷体"/>
    <w:panose1 w:val="02010609030101010101"/>
    <w:charset w:val="86"/>
    <w:family w:val="modern"/>
    <w:pitch w:val="default"/>
    <w:sig w:usb0="00000000" w:usb1="00000000" w:usb2="00000000" w:usb3="00000000" w:csb0="00040000" w:csb1="00000000"/>
    <w:embedRegular r:id="rId6" w:fontKey="{B3560365-7F6E-4559-9F3A-BA22413DB65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9"/>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D6761"/>
    <w:multiLevelType w:val="singleLevel"/>
    <w:tmpl w:val="7E4D67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7"/>
  <w:drawingGridVerticalSpacing w:val="15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M2MzMjE5ZTQ0NTk2OTMxZTk4MGEwNzdjYjU5NGEifQ=="/>
  </w:docVars>
  <w:rsids>
    <w:rsidRoot w:val="0010274D"/>
    <w:rsid w:val="00020A9F"/>
    <w:rsid w:val="00034D93"/>
    <w:rsid w:val="000559D1"/>
    <w:rsid w:val="000D2C88"/>
    <w:rsid w:val="000E5451"/>
    <w:rsid w:val="0010274D"/>
    <w:rsid w:val="0012735D"/>
    <w:rsid w:val="00167972"/>
    <w:rsid w:val="00172307"/>
    <w:rsid w:val="002057B7"/>
    <w:rsid w:val="0021720A"/>
    <w:rsid w:val="002268E9"/>
    <w:rsid w:val="00237221"/>
    <w:rsid w:val="00243557"/>
    <w:rsid w:val="00281833"/>
    <w:rsid w:val="002D3353"/>
    <w:rsid w:val="002E3689"/>
    <w:rsid w:val="002E60ED"/>
    <w:rsid w:val="002F2F0A"/>
    <w:rsid w:val="00301189"/>
    <w:rsid w:val="00430FA9"/>
    <w:rsid w:val="0047153B"/>
    <w:rsid w:val="004B68C6"/>
    <w:rsid w:val="004E013E"/>
    <w:rsid w:val="005177D9"/>
    <w:rsid w:val="005314F3"/>
    <w:rsid w:val="00535B93"/>
    <w:rsid w:val="005362C9"/>
    <w:rsid w:val="005512D7"/>
    <w:rsid w:val="00553896"/>
    <w:rsid w:val="005619B1"/>
    <w:rsid w:val="00566C6A"/>
    <w:rsid w:val="00644B31"/>
    <w:rsid w:val="00644D7D"/>
    <w:rsid w:val="00657089"/>
    <w:rsid w:val="006D14AB"/>
    <w:rsid w:val="0074184F"/>
    <w:rsid w:val="007B62E8"/>
    <w:rsid w:val="007D6AC1"/>
    <w:rsid w:val="007F2306"/>
    <w:rsid w:val="008316D3"/>
    <w:rsid w:val="00863E95"/>
    <w:rsid w:val="00893462"/>
    <w:rsid w:val="008A763F"/>
    <w:rsid w:val="008B0EF6"/>
    <w:rsid w:val="008B658C"/>
    <w:rsid w:val="008D0578"/>
    <w:rsid w:val="008D6D05"/>
    <w:rsid w:val="009205B1"/>
    <w:rsid w:val="00961C28"/>
    <w:rsid w:val="009B0A82"/>
    <w:rsid w:val="009B3792"/>
    <w:rsid w:val="009D6A80"/>
    <w:rsid w:val="00A32D8E"/>
    <w:rsid w:val="00A65A1D"/>
    <w:rsid w:val="00A91C19"/>
    <w:rsid w:val="00A95596"/>
    <w:rsid w:val="00AA01D3"/>
    <w:rsid w:val="00AD1DFD"/>
    <w:rsid w:val="00AD5697"/>
    <w:rsid w:val="00B90D99"/>
    <w:rsid w:val="00B917DD"/>
    <w:rsid w:val="00BF7647"/>
    <w:rsid w:val="00C13EE5"/>
    <w:rsid w:val="00C454DE"/>
    <w:rsid w:val="00C705A1"/>
    <w:rsid w:val="00C73D5C"/>
    <w:rsid w:val="00C93659"/>
    <w:rsid w:val="00CD29E3"/>
    <w:rsid w:val="00DA4A89"/>
    <w:rsid w:val="00DD6FC6"/>
    <w:rsid w:val="00E31AF1"/>
    <w:rsid w:val="00E530C4"/>
    <w:rsid w:val="00E562A0"/>
    <w:rsid w:val="00EE45DF"/>
    <w:rsid w:val="00EE5BD9"/>
    <w:rsid w:val="00EE7C10"/>
    <w:rsid w:val="00F20120"/>
    <w:rsid w:val="00F42311"/>
    <w:rsid w:val="00F52626"/>
    <w:rsid w:val="00F564EB"/>
    <w:rsid w:val="00FB7B09"/>
    <w:rsid w:val="079769B8"/>
    <w:rsid w:val="0AB01D6C"/>
    <w:rsid w:val="132B11E3"/>
    <w:rsid w:val="14AA0E1B"/>
    <w:rsid w:val="208C3F4C"/>
    <w:rsid w:val="21B866EC"/>
    <w:rsid w:val="22074C35"/>
    <w:rsid w:val="22B937F4"/>
    <w:rsid w:val="24573271"/>
    <w:rsid w:val="2AA45A5D"/>
    <w:rsid w:val="2B8463A9"/>
    <w:rsid w:val="2DFD3B2E"/>
    <w:rsid w:val="3077276B"/>
    <w:rsid w:val="30DF0F1E"/>
    <w:rsid w:val="31B95C48"/>
    <w:rsid w:val="35B802D5"/>
    <w:rsid w:val="37E32ECE"/>
    <w:rsid w:val="3A8D4274"/>
    <w:rsid w:val="3AF51BC3"/>
    <w:rsid w:val="3DA126AD"/>
    <w:rsid w:val="405A18EB"/>
    <w:rsid w:val="427A5D79"/>
    <w:rsid w:val="42F44A31"/>
    <w:rsid w:val="45346CB5"/>
    <w:rsid w:val="483D0A43"/>
    <w:rsid w:val="487F334E"/>
    <w:rsid w:val="489642A9"/>
    <w:rsid w:val="48D822C9"/>
    <w:rsid w:val="4AF53B3E"/>
    <w:rsid w:val="548B35D5"/>
    <w:rsid w:val="5F7C3F44"/>
    <w:rsid w:val="6A515A3D"/>
    <w:rsid w:val="6A5C014E"/>
    <w:rsid w:val="6FE832B2"/>
    <w:rsid w:val="783F2FED"/>
    <w:rsid w:val="7FE11E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00" w:beforeAutospacing="1" w:after="100" w:afterAutospacing="1" w:line="460" w:lineRule="exact"/>
      <w:jc w:val="center"/>
      <w:outlineLvl w:val="0"/>
    </w:pPr>
    <w:rPr>
      <w:b/>
      <w:bCs/>
      <w:kern w:val="44"/>
      <w:sz w:val="30"/>
      <w:szCs w:val="44"/>
    </w:rPr>
  </w:style>
  <w:style w:type="paragraph" w:styleId="4">
    <w:name w:val="heading 2"/>
    <w:basedOn w:val="1"/>
    <w:next w:val="1"/>
    <w:qFormat/>
    <w:uiPriority w:val="0"/>
    <w:pPr>
      <w:keepNext/>
      <w:keepLines/>
      <w:spacing w:before="100" w:beforeAutospacing="1" w:after="100" w:afterAutospacing="1" w:line="460" w:lineRule="exact"/>
      <w:ind w:firstLine="200" w:firstLineChars="200"/>
      <w:jc w:val="left"/>
      <w:outlineLvl w:val="1"/>
    </w:pPr>
    <w:rPr>
      <w:rFonts w:ascii="Arial" w:hAnsi="Arial"/>
      <w:b/>
      <w:bCs/>
      <w:sz w:val="24"/>
      <w:szCs w:val="32"/>
    </w:rPr>
  </w:style>
  <w:style w:type="paragraph" w:styleId="5">
    <w:name w:val="heading 3"/>
    <w:basedOn w:val="1"/>
    <w:next w:val="1"/>
    <w:qFormat/>
    <w:uiPriority w:val="0"/>
    <w:pPr>
      <w:spacing w:before="100" w:beforeAutospacing="1" w:after="100" w:afterAutospacing="1" w:line="460" w:lineRule="exact"/>
      <w:ind w:firstLine="200" w:firstLineChars="200"/>
      <w:jc w:val="left"/>
      <w:outlineLvl w:val="2"/>
    </w:pPr>
    <w:rPr>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after="120"/>
    </w:pPr>
  </w:style>
  <w:style w:type="paragraph" w:styleId="6">
    <w:name w:val="toc 3"/>
    <w:basedOn w:val="1"/>
    <w:next w:val="1"/>
    <w:qFormat/>
    <w:uiPriority w:val="39"/>
    <w:pPr>
      <w:tabs>
        <w:tab w:val="right" w:leader="dot" w:pos="13948"/>
      </w:tabs>
      <w:ind w:left="420"/>
      <w:jc w:val="center"/>
    </w:pPr>
    <w:rPr>
      <w:rFonts w:ascii="宋体" w:hAnsi="宋体"/>
      <w:b/>
      <w:sz w:val="44"/>
      <w:szCs w:val="44"/>
    </w:rPr>
  </w:style>
  <w:style w:type="paragraph" w:styleId="7">
    <w:name w:val="Body Text Indent 2"/>
    <w:basedOn w:val="1"/>
    <w:qFormat/>
    <w:uiPriority w:val="0"/>
    <w:pPr>
      <w:spacing w:line="480" w:lineRule="exact"/>
      <w:ind w:firstLine="435"/>
    </w:pPr>
    <w:rPr>
      <w:b/>
      <w:bCs/>
      <w:szCs w:val="24"/>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Normal (Web)"/>
    <w:basedOn w:val="1"/>
    <w:unhideWhenUsed/>
    <w:qFormat/>
    <w:uiPriority w:val="99"/>
    <w:rPr>
      <w:rFonts w:ascii="Times New Roman" w:hAnsi="Times New Roman" w:cs="Times New Roman"/>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qFormat/>
    <w:uiPriority w:val="99"/>
    <w:rPr>
      <w:color w:val="005C81"/>
      <w:u w:val="none"/>
    </w:rPr>
  </w:style>
  <w:style w:type="character" w:styleId="17">
    <w:name w:val="Emphasis"/>
    <w:basedOn w:val="15"/>
    <w:qFormat/>
    <w:uiPriority w:val="20"/>
  </w:style>
  <w:style w:type="character" w:styleId="18">
    <w:name w:val="Hyperlink"/>
    <w:basedOn w:val="15"/>
    <w:semiHidden/>
    <w:unhideWhenUsed/>
    <w:qFormat/>
    <w:uiPriority w:val="99"/>
    <w:rPr>
      <w:color w:val="005C81"/>
      <w:u w:val="none"/>
    </w:rPr>
  </w:style>
  <w:style w:type="character" w:customStyle="1" w:styleId="19">
    <w:name w:val="页眉 字符"/>
    <w:basedOn w:val="15"/>
    <w:link w:val="10"/>
    <w:qFormat/>
    <w:uiPriority w:val="99"/>
    <w:rPr>
      <w:sz w:val="18"/>
      <w:szCs w:val="18"/>
    </w:rPr>
  </w:style>
  <w:style w:type="character" w:customStyle="1" w:styleId="20">
    <w:name w:val="页脚 字符"/>
    <w:basedOn w:val="15"/>
    <w:link w:val="9"/>
    <w:qFormat/>
    <w:uiPriority w:val="99"/>
    <w:rPr>
      <w:sz w:val="18"/>
      <w:szCs w:val="18"/>
    </w:rPr>
  </w:style>
  <w:style w:type="character" w:customStyle="1" w:styleId="21">
    <w:name w:val="批注框文本 字符"/>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1298</Words>
  <Characters>1304</Characters>
  <Lines>9</Lines>
  <Paragraphs>2</Paragraphs>
  <TotalTime>8</TotalTime>
  <ScaleCrop>false</ScaleCrop>
  <LinksUpToDate>false</LinksUpToDate>
  <CharactersWithSpaces>1304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2022-10-26T23:05:00Z</dcterms:created>
  <dc:creator>SONY</dc:creator>
  <cp:lastModifiedBy>李飞</cp:lastModifiedBy>
  <cp:lastPrinted>2019-10-31T00:57:00Z</cp:lastPrinted>
  <dcterms:modified xsi:type="dcterms:W3CDTF">2022-11-09T07:07:16Z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C7A8D2C506B34EC6AACA565D08F5F696</vt:lpwstr>
  </property>
</Properties>
</file>