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atLeast"/>
        <w:jc w:val="both"/>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eastAsia="zh-CN"/>
        </w:rPr>
        <w:t>附件</w:t>
      </w:r>
      <w:r>
        <w:rPr>
          <w:rFonts w:hint="eastAsia" w:ascii="黑体" w:hAnsi="黑体" w:eastAsia="黑体" w:cs="黑体"/>
          <w:color w:val="333333"/>
          <w:sz w:val="32"/>
          <w:szCs w:val="32"/>
          <w:lang w:val="en-US" w:eastAsia="zh-CN"/>
        </w:rPr>
        <w:t>2</w:t>
      </w:r>
    </w:p>
    <w:p>
      <w:pPr>
        <w:shd w:val="clear" w:color="auto" w:fill="FFFFFF"/>
        <w:spacing w:line="560" w:lineRule="atLeast"/>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定点医疗</w:t>
      </w:r>
      <w:bookmarkStart w:id="0" w:name="_GoBack"/>
      <w:bookmarkEnd w:id="0"/>
      <w:r>
        <w:rPr>
          <w:rFonts w:hint="eastAsia" w:ascii="方正小标宋简体" w:hAnsi="方正小标宋简体" w:eastAsia="方正小标宋简体" w:cs="方正小标宋简体"/>
          <w:color w:val="333333"/>
          <w:sz w:val="44"/>
          <w:szCs w:val="44"/>
        </w:rPr>
        <w:t>机构指标体系（</w:t>
      </w:r>
      <w:r>
        <w:rPr>
          <w:rFonts w:hint="eastAsia" w:ascii="方正小标宋简体" w:hAnsi="方正小标宋简体" w:eastAsia="方正小标宋简体" w:cs="方正小标宋简体"/>
          <w:color w:val="333333"/>
          <w:sz w:val="44"/>
          <w:szCs w:val="44"/>
          <w:lang w:val="en-US" w:eastAsia="zh-CN"/>
        </w:rPr>
        <w:t>2022</w:t>
      </w:r>
      <w:r>
        <w:rPr>
          <w:rFonts w:hint="eastAsia" w:ascii="方正小标宋简体" w:hAnsi="方正小标宋简体" w:eastAsia="方正小标宋简体" w:cs="方正小标宋简体"/>
          <w:color w:val="333333"/>
          <w:sz w:val="44"/>
          <w:szCs w:val="44"/>
        </w:rPr>
        <w:t>版）</w:t>
      </w:r>
    </w:p>
    <w:tbl>
      <w:tblPr>
        <w:tblStyle w:val="5"/>
        <w:tblW w:w="5257" w:type="pct"/>
        <w:jc w:val="center"/>
        <w:tblLayout w:type="fixed"/>
        <w:tblCellMar>
          <w:top w:w="0" w:type="dxa"/>
          <w:left w:w="0" w:type="dxa"/>
          <w:bottom w:w="0" w:type="dxa"/>
          <w:right w:w="0" w:type="dxa"/>
        </w:tblCellMar>
      </w:tblPr>
      <w:tblGrid>
        <w:gridCol w:w="436"/>
        <w:gridCol w:w="426"/>
        <w:gridCol w:w="509"/>
        <w:gridCol w:w="516"/>
        <w:gridCol w:w="480"/>
        <w:gridCol w:w="2301"/>
        <w:gridCol w:w="2345"/>
        <w:gridCol w:w="1935"/>
        <w:gridCol w:w="13"/>
      </w:tblGrid>
      <w:tr>
        <w:tblPrEx>
          <w:tblCellMar>
            <w:top w:w="0" w:type="dxa"/>
            <w:left w:w="0" w:type="dxa"/>
            <w:bottom w:w="0" w:type="dxa"/>
            <w:right w:w="0" w:type="dxa"/>
          </w:tblCellMar>
        </w:tblPrEx>
        <w:trPr>
          <w:gridAfter w:val="1"/>
          <w:wAfter w:w="7" w:type="pct"/>
          <w:trHeight w:val="23" w:hRule="atLeast"/>
          <w:tblHeader/>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一级</w:t>
            </w:r>
          </w:p>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指标</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二级指标</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黑体" w:hAnsi="黑体" w:eastAsia="黑体" w:cs="Times New Roman"/>
                <w:color w:val="auto"/>
                <w:sz w:val="24"/>
                <w:szCs w:val="24"/>
              </w:rPr>
            </w:pPr>
            <w:r>
              <w:rPr>
                <w:rFonts w:hint="eastAsia" w:ascii="黑体" w:hAnsi="黑体" w:eastAsia="黑体" w:cs="Times New Roman"/>
                <w:color w:val="auto"/>
                <w:sz w:val="24"/>
                <w:szCs w:val="24"/>
              </w:rPr>
              <w:t>三级</w:t>
            </w:r>
          </w:p>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指标</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分值</w:t>
            </w:r>
          </w:p>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设计</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权重</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指标释义</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设计依据</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ascii="Times New Roman" w:hAnsi="Times New Roman" w:eastAsia="宋体" w:cs="Times New Roman"/>
                <w:color w:val="auto"/>
                <w:sz w:val="24"/>
                <w:szCs w:val="24"/>
              </w:rPr>
            </w:pPr>
            <w:r>
              <w:rPr>
                <w:rFonts w:hint="eastAsia" w:ascii="黑体" w:hAnsi="黑体" w:eastAsia="黑体" w:cs="Times New Roman"/>
                <w:color w:val="auto"/>
                <w:sz w:val="24"/>
                <w:szCs w:val="24"/>
              </w:rPr>
              <w:t>评分规则</w:t>
            </w:r>
          </w:p>
        </w:tc>
      </w:tr>
      <w:tr>
        <w:tblPrEx>
          <w:tblCellMar>
            <w:top w:w="0" w:type="dxa"/>
            <w:left w:w="0" w:type="dxa"/>
            <w:bottom w:w="0" w:type="dxa"/>
            <w:right w:w="0" w:type="dxa"/>
          </w:tblCellMar>
        </w:tblPrEx>
        <w:trPr>
          <w:gridAfter w:val="1"/>
          <w:wAfter w:w="7" w:type="pct"/>
          <w:trHeight w:val="1537"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标识</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标牌</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在本机构显要位置悬挂医疗保障标识标牌。</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 xml:space="preserve">《医疗机构医疗保障定点管理暂行办法》； </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悬挂标牌的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悬挂标牌的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705"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变更</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医院名称、法定代表人、主要负责人或实际控制人、注册地址、银行账户、 诊疗科目、机构规模、机构性质、等级和类别等重大信息变更时，</w:t>
            </w:r>
            <w:r>
              <w:rPr>
                <w:rFonts w:hint="eastAsia" w:ascii="仿宋_GB2312" w:hAnsi="仿宋_GB2312" w:eastAsia="仿宋_GB2312" w:cs="仿宋_GB2312"/>
                <w:color w:val="auto"/>
                <w:sz w:val="21"/>
                <w:szCs w:val="21"/>
                <w:lang w:val="en-US" w:eastAsia="zh-CN"/>
              </w:rPr>
              <w:t>及</w:t>
            </w:r>
            <w:r>
              <w:rPr>
                <w:rFonts w:hint="eastAsia" w:ascii="仿宋_GB2312" w:hAnsi="仿宋_GB2312" w:eastAsia="仿宋_GB2312" w:cs="仿宋_GB2312"/>
                <w:color w:val="auto"/>
                <w:sz w:val="21"/>
                <w:szCs w:val="21"/>
              </w:rPr>
              <w:t>时向医保经办机构提出变更申请。</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1.《医疗机构医疗保障定点管理暂行办法》；</w:t>
            </w:r>
          </w:p>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按照规定进行变更备案</w:t>
            </w:r>
            <w:r>
              <w:rPr>
                <w:rFonts w:hint="eastAsia" w:ascii="仿宋_GB2312" w:hAnsi="仿宋_GB2312" w:eastAsia="仿宋_GB2312" w:cs="仿宋_GB2312"/>
                <w:color w:val="auto"/>
                <w:sz w:val="21"/>
                <w:szCs w:val="21"/>
                <w:lang w:val="en-US" w:eastAsia="zh-CN"/>
              </w:rPr>
              <w:t>的</w:t>
            </w:r>
            <w:r>
              <w:rPr>
                <w:rFonts w:hint="eastAsia" w:ascii="仿宋_GB2312" w:hAnsi="仿宋_GB2312" w:eastAsia="仿宋_GB2312" w:cs="仿宋_GB2312"/>
                <w:color w:val="auto"/>
                <w:sz w:val="21"/>
                <w:szCs w:val="21"/>
                <w:lang w:eastAsia="zh-CN"/>
              </w:rPr>
              <w:t>得分；未按照规定进行变更备案，不得分。</w:t>
            </w:r>
          </w:p>
        </w:tc>
      </w:tr>
      <w:tr>
        <w:tblPrEx>
          <w:tblCellMar>
            <w:top w:w="0" w:type="dxa"/>
            <w:left w:w="0" w:type="dxa"/>
            <w:bottom w:w="0" w:type="dxa"/>
            <w:right w:w="0" w:type="dxa"/>
          </w:tblCellMar>
        </w:tblPrEx>
        <w:trPr>
          <w:gridAfter w:val="1"/>
          <w:wAfter w:w="7" w:type="pct"/>
          <w:trHeight w:val="119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公开</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向医保部门报告医保基金使用监督管理及协议管理所需信息；</w:t>
            </w:r>
          </w:p>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按规定</w:t>
            </w:r>
            <w:r>
              <w:rPr>
                <w:rFonts w:hint="eastAsia" w:ascii="仿宋_GB2312" w:hAnsi="仿宋_GB2312" w:eastAsia="仿宋_GB2312" w:cs="仿宋_GB2312"/>
                <w:color w:val="auto"/>
                <w:sz w:val="21"/>
                <w:szCs w:val="21"/>
              </w:rPr>
              <w:t>向社会公开</w:t>
            </w:r>
            <w:r>
              <w:rPr>
                <w:rFonts w:hint="eastAsia" w:ascii="仿宋_GB2312" w:hAnsi="仿宋_GB2312" w:eastAsia="仿宋_GB2312" w:cs="仿宋_GB2312"/>
                <w:color w:val="auto"/>
                <w:sz w:val="21"/>
                <w:szCs w:val="21"/>
                <w:lang w:val="en-US" w:eastAsia="zh-CN"/>
              </w:rPr>
              <w:t>有关</w:t>
            </w:r>
            <w:r>
              <w:rPr>
                <w:rFonts w:hint="eastAsia" w:ascii="仿宋_GB2312" w:hAnsi="仿宋_GB2312" w:eastAsia="仿宋_GB2312" w:cs="仿宋_GB2312"/>
                <w:color w:val="auto"/>
                <w:sz w:val="21"/>
                <w:szCs w:val="21"/>
              </w:rPr>
              <w:t>等信息。</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按照规定公开的，得分；</w:t>
            </w: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公开信息的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300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配合</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监管</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配合医保经办机构医保费用审核、稽核检查、绩效考核等工作，接受医保部 门监督检查，并提供相关材料。</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1.《医疗保障基金使用监督管理条例》；2.《医疗机构医疗保障定点管理暂行办法》；3. 《青海省医疗保障定点医疗机构服务协议（2019版）》。</w:t>
            </w:r>
          </w:p>
          <w:p>
            <w:pPr>
              <w:jc w:val="both"/>
              <w:rPr>
                <w:rFonts w:hint="default" w:ascii="仿宋_GB2312" w:hAnsi="仿宋_GB2312" w:eastAsia="仿宋_GB2312" w:cs="仿宋_GB2312"/>
                <w:color w:val="auto"/>
                <w:sz w:val="21"/>
                <w:szCs w:val="21"/>
                <w:lang w:val="en-US"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按照规定提供准确的医保监管信息资料且配合监督检查，得分；未按照规定提供医保监管信息资料且不配合监督检查、提交材料不及时并以不合理理由拒不提供材料的，均不得分。</w:t>
            </w:r>
          </w:p>
        </w:tc>
      </w:tr>
      <w:tr>
        <w:tblPrEx>
          <w:tblCellMar>
            <w:top w:w="0" w:type="dxa"/>
            <w:left w:w="0" w:type="dxa"/>
            <w:bottom w:w="0" w:type="dxa"/>
            <w:right w:w="0" w:type="dxa"/>
          </w:tblCellMar>
        </w:tblPrEx>
        <w:trPr>
          <w:gridAfter w:val="1"/>
          <w:wAfter w:w="7" w:type="pct"/>
          <w:trHeight w:val="1750"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参加</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培训</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参加由医保行政部门或经办机构组织的培训。</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w:t>
            </w:r>
            <w:r>
              <w:rPr>
                <w:rFonts w:hint="eastAsia" w:ascii="仿宋_GB2312" w:hAnsi="仿宋_GB2312" w:eastAsia="仿宋_GB2312" w:cs="仿宋_GB2312"/>
                <w:color w:val="auto"/>
                <w:sz w:val="21"/>
                <w:szCs w:val="21"/>
                <w:lang w:val="en-US" w:eastAsia="zh-CN"/>
              </w:rPr>
              <w:t>要求参加培训的</w:t>
            </w:r>
            <w:r>
              <w:rPr>
                <w:rFonts w:hint="eastAsia" w:ascii="仿宋_GB2312" w:hAnsi="仿宋_GB2312" w:eastAsia="仿宋_GB2312" w:cs="仿宋_GB2312"/>
                <w:color w:val="auto"/>
                <w:sz w:val="21"/>
                <w:szCs w:val="21"/>
                <w:lang w:eastAsia="zh-CN"/>
              </w:rPr>
              <w:t>，得分；未按照</w:t>
            </w:r>
            <w:r>
              <w:rPr>
                <w:rFonts w:hint="eastAsia" w:ascii="仿宋_GB2312" w:hAnsi="仿宋_GB2312" w:eastAsia="仿宋_GB2312" w:cs="仿宋_GB2312"/>
                <w:color w:val="auto"/>
                <w:sz w:val="21"/>
                <w:szCs w:val="21"/>
                <w:lang w:val="en-US" w:eastAsia="zh-CN"/>
              </w:rPr>
              <w:t>要求参加培训的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宣传</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咨询</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开展医保方面宣传并及时更新内容；提供相关咨询服务。</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《青海省医疗保障定点医疗机构服务协议（2019版）》。 </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按照规定进行</w:t>
            </w:r>
            <w:r>
              <w:rPr>
                <w:rFonts w:hint="eastAsia" w:ascii="仿宋_GB2312" w:hAnsi="仿宋_GB2312" w:eastAsia="仿宋_GB2312" w:cs="仿宋_GB2312"/>
                <w:color w:val="auto"/>
                <w:sz w:val="21"/>
                <w:szCs w:val="21"/>
                <w:lang w:val="en-US" w:eastAsia="zh-CN"/>
              </w:rPr>
              <w:t>的</w:t>
            </w:r>
            <w:r>
              <w:rPr>
                <w:rFonts w:hint="eastAsia" w:ascii="仿宋_GB2312" w:hAnsi="仿宋_GB2312" w:eastAsia="仿宋_GB2312" w:cs="仿宋_GB2312"/>
                <w:color w:val="auto"/>
                <w:sz w:val="21"/>
                <w:szCs w:val="21"/>
                <w:lang w:eastAsia="zh-CN"/>
              </w:rPr>
              <w:t>，得分；未按照规定进行</w:t>
            </w:r>
            <w:r>
              <w:rPr>
                <w:rFonts w:hint="eastAsia" w:ascii="仿宋_GB2312" w:hAnsi="仿宋_GB2312" w:eastAsia="仿宋_GB2312" w:cs="仿宋_GB2312"/>
                <w:color w:val="auto"/>
                <w:sz w:val="21"/>
                <w:szCs w:val="21"/>
                <w:lang w:val="en-US" w:eastAsia="zh-CN"/>
              </w:rPr>
              <w:t>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37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资料</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保管</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妥善保管财务账目、会计凭证、处方、病历、治疗检查记录、费用明细、药品和医用耗材出入库记录等</w:t>
            </w:r>
            <w:r>
              <w:rPr>
                <w:rFonts w:hint="eastAsia" w:ascii="仿宋_GB2312" w:hAnsi="仿宋_GB2312" w:eastAsia="仿宋_GB2312" w:cs="仿宋_GB2312"/>
                <w:color w:val="auto"/>
                <w:sz w:val="21"/>
                <w:szCs w:val="21"/>
                <w:lang w:val="en-US" w:eastAsia="zh-CN"/>
              </w:rPr>
              <w:t>资料</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 xml:space="preserve"> 《医疗保障基金使用监督管理条例》；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资料保管齐全的，得分；资料保管不齐全的，不得分。</w:t>
            </w:r>
          </w:p>
        </w:tc>
      </w:tr>
      <w:tr>
        <w:tblPrEx>
          <w:tblCellMar>
            <w:top w:w="0" w:type="dxa"/>
            <w:left w:w="0" w:type="dxa"/>
            <w:bottom w:w="0" w:type="dxa"/>
            <w:right w:w="0" w:type="dxa"/>
          </w:tblCellMar>
        </w:tblPrEx>
        <w:trPr>
          <w:gridAfter w:val="1"/>
          <w:wAfter w:w="7" w:type="pct"/>
          <w:trHeight w:val="2070"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目录</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50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严格执行医保药品、医用耗材和医疗服务设施等目录；</w:t>
            </w:r>
          </w:p>
          <w:p>
            <w:pPr>
              <w:spacing w:line="23" w:lineRule="atLeast"/>
              <w:jc w:val="both"/>
              <w:textAlignment w:val="center"/>
              <w:rPr>
                <w:rFonts w:hint="eastAsia" w:ascii="仿宋_GB2312" w:hAnsi="仿宋_GB2312" w:eastAsia="仿宋_GB2312" w:cs="仿宋_GB2312"/>
                <w:color w:val="auto"/>
                <w:sz w:val="21"/>
                <w:szCs w:val="21"/>
                <w:lang w:val="en-US" w:eastAsia="zh-CN"/>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 xml:space="preserve">《医疗机构医疗保障定点管理暂行办法》； </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 xml:space="preserve">《青海省医疗保障定点医疗机构服务协议（2019版）》。 </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275" w:hRule="exac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集中</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采购</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执行集中采购政策，医保支付药品、耗材在医保部门规定的平台上采购，优先使用中选的药品和耗材。</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r>
              <w:rPr>
                <w:rFonts w:hint="eastAsia" w:ascii="仿宋_GB2312" w:hAnsi="仿宋_GB2312" w:eastAsia="仿宋_GB2312" w:cs="仿宋_GB2312"/>
                <w:color w:val="auto"/>
                <w:sz w:val="21"/>
                <w:szCs w:val="21"/>
                <w:lang w:val="en-US" w:eastAsia="zh-CN"/>
              </w:rPr>
              <w:t>有关医保集采政策文件</w:t>
            </w:r>
            <w:r>
              <w:rPr>
                <w:rFonts w:hint="eastAsia" w:ascii="仿宋_GB2312" w:hAnsi="仿宋_GB2312" w:eastAsia="仿宋_GB2312" w:cs="仿宋_GB2312"/>
                <w:color w:val="auto"/>
                <w:sz w:val="21"/>
                <w:szCs w:val="21"/>
                <w:lang w:eastAsia="zh-CN"/>
              </w:rPr>
              <w:t xml:space="preserve">。 </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955"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身份</w:t>
            </w:r>
          </w:p>
          <w:p>
            <w:pPr>
              <w:spacing w:line="23" w:lineRule="atLeas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核实</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核验参保人员医保有效凭证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执行实名就医和购药管理规定</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做到人证相符</w:t>
            </w:r>
            <w:r>
              <w:rPr>
                <w:rFonts w:hint="eastAsia" w:ascii="仿宋_GB2312" w:hAnsi="仿宋_GB2312" w:eastAsia="仿宋_GB2312" w:cs="仿宋_GB2312"/>
                <w:color w:val="auto"/>
                <w:sz w:val="21"/>
                <w:szCs w:val="21"/>
                <w:highlight w:val="none"/>
              </w:rPr>
              <w:t xml:space="preserve">。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按照规定核验参保人员医疗保障有效凭证，得分；未按照规定核验参保人员医疗保障有效凭证，造成医保基金损失的，不得分。</w:t>
            </w:r>
          </w:p>
        </w:tc>
      </w:tr>
      <w:tr>
        <w:tblPrEx>
          <w:tblCellMar>
            <w:top w:w="0" w:type="dxa"/>
            <w:left w:w="0" w:type="dxa"/>
            <w:bottom w:w="0" w:type="dxa"/>
            <w:right w:w="0" w:type="dxa"/>
          </w:tblCellMar>
        </w:tblPrEx>
        <w:trPr>
          <w:gridAfter w:val="1"/>
          <w:wAfter w:w="7" w:type="pct"/>
          <w:trHeight w:val="262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知情</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同意</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提供医保基金支付范围以外的医药服务的，应当经参保人员或者其近亲属、 监护人同意。</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 xml:space="preserve"> 《青海省医疗保障定点医疗机构服务协议（2019版）》。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147"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院内</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制剂</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院内制剂经批准后进入医保用药范围。</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合理</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诊疗</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按照诊疗规范提供合理的、必要的医疗服务，防止过度医疗或服务不足。</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《医疗保障基金使用监督管理条例》；</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 xml:space="preserve">《青海省医疗保障定点医疗机构服务协议（2019版）》。  </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062"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就诊</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记录</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诊疗记录真实、准确、完整、清晰，与票据、费用清单等相吻合。</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705"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检查</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互认</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按照国家相关规定，在不影响疾病诊疗的前提下，认可参保人员在其他定点 医疗机构所做的检查化验结果，避免不必要的重复检查。</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医疗机构检查检验结果互认管理办法。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032"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门特</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制定门诊特殊病种临床指南，确定相应的科室及医生为参保人员提供门诊特殊病种（或治疗）医疗服务。</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27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处方</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处方书写规范、清晰、完整，并与</w:t>
            </w:r>
            <w:r>
              <w:rPr>
                <w:rFonts w:hint="eastAsia" w:ascii="仿宋_GB2312" w:hAnsi="仿宋_GB2312" w:eastAsia="仿宋_GB2312" w:cs="仿宋_GB2312"/>
                <w:color w:val="auto"/>
                <w:sz w:val="21"/>
                <w:szCs w:val="21"/>
                <w:lang w:eastAsia="zh-CN"/>
              </w:rPr>
              <w:t>病历</w:t>
            </w:r>
            <w:r>
              <w:rPr>
                <w:rFonts w:hint="eastAsia" w:ascii="仿宋_GB2312" w:hAnsi="仿宋_GB2312" w:eastAsia="仿宋_GB2312" w:cs="仿宋_GB2312"/>
                <w:color w:val="auto"/>
                <w:sz w:val="21"/>
                <w:szCs w:val="21"/>
              </w:rPr>
              <w:t>记载相一致。执行处方管理的药品种类及药量，按照药品说明书的使用要求和药品目录限定范围使用药品。</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处方管理办法。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790"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处方</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流转</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执行门诊处方外配制度，便利参保人员到定点零售药店购药。 </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22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转诊</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转院</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建立健全转诊转院制度，及时为符合条件的参保人员办理转诊转院手续。</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出入</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院管理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严格执行出、入院和重症监护病房收治标准，不得推诿、拒收符合住院条件 的参保人员住院治疗；不得将不符合入院标准的参保人员住院治疗；不得要 求未达到出院标准的参保人员提前出院或自费住院。</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《青海省医疗保障定点医疗机构服务协议（2019版）》。</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44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出院</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带药</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参保人员出院带药，其药品品种和数量符合医保等部门相关规定。</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37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异地</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就医</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医疗机构应按照相关医保政策，为异地就医参保人员提供合理的医疗服务和 费用结算。</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284"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满意度</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FF0000"/>
                <w:sz w:val="21"/>
                <w:szCs w:val="21"/>
                <w:u w:val="thick"/>
                <w:lang w:eastAsia="zh-CN"/>
              </w:rPr>
            </w:pPr>
            <w:r>
              <w:rPr>
                <w:rFonts w:hint="eastAsia" w:ascii="仿宋_GB2312" w:hAnsi="仿宋_GB2312" w:eastAsia="仿宋_GB2312" w:cs="仿宋_GB2312"/>
                <w:color w:val="auto"/>
                <w:sz w:val="21"/>
                <w:szCs w:val="21"/>
                <w:lang w:eastAsia="zh-CN"/>
              </w:rPr>
              <w:t>40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40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通过网络、表格等方式调查参保人员的满意度。</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医疗保障基金使用监督管理条例</w:t>
            </w:r>
            <w:r>
              <w:rPr>
                <w:rFonts w:hint="eastAsia" w:ascii="仿宋_GB2312" w:hAnsi="仿宋_GB2312" w:eastAsia="仿宋_GB2312" w:cs="仿宋_GB2312"/>
                <w:color w:val="auto"/>
                <w:sz w:val="21"/>
                <w:szCs w:val="21"/>
                <w:lang w:eastAsia="zh-CN"/>
              </w:rPr>
              <w:t>》。</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满意度调查结果80分（含）-90分的扣</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CN"/>
              </w:rPr>
              <w:t>分；70分（含）-80分的扣</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lang w:eastAsia="zh-CN"/>
              </w:rPr>
              <w:t>分；60分（含）-70分的扣</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0分；小于60分的扣</w:t>
            </w:r>
            <w:r>
              <w:rPr>
                <w:rFonts w:hint="eastAsia" w:ascii="仿宋_GB2312" w:hAnsi="仿宋_GB2312" w:eastAsia="仿宋_GB2312" w:cs="仿宋_GB2312"/>
                <w:color w:val="auto"/>
                <w:sz w:val="21"/>
                <w:szCs w:val="21"/>
                <w:lang w:val="en-US" w:eastAsia="zh-CN"/>
              </w:rPr>
              <w:t>40</w:t>
            </w:r>
            <w:r>
              <w:rPr>
                <w:rFonts w:hint="eastAsia" w:ascii="仿宋_GB2312" w:hAnsi="仿宋_GB2312" w:eastAsia="仿宋_GB2312" w:cs="仿宋_GB2312"/>
                <w:color w:val="auto"/>
                <w:sz w:val="21"/>
                <w:szCs w:val="21"/>
                <w:lang w:eastAsia="zh-CN"/>
              </w:rPr>
              <w:t>分。</w:t>
            </w:r>
          </w:p>
        </w:tc>
      </w:tr>
      <w:tr>
        <w:tblPrEx>
          <w:tblCellMar>
            <w:top w:w="0" w:type="dxa"/>
            <w:left w:w="0" w:type="dxa"/>
            <w:bottom w:w="0" w:type="dxa"/>
            <w:right w:w="0" w:type="dxa"/>
          </w:tblCellMar>
        </w:tblPrEx>
        <w:trPr>
          <w:gridAfter w:val="1"/>
          <w:wAfter w:w="7" w:type="pct"/>
          <w:trHeight w:val="2137"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指定部门及专人负责医疗保险信息管理，明确专职管理人员的工作职责。</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有专职机构和人员，职责明确的，得分；反之不得分</w:t>
            </w:r>
          </w:p>
        </w:tc>
      </w:tr>
      <w:tr>
        <w:tblPrEx>
          <w:tblCellMar>
            <w:top w:w="0" w:type="dxa"/>
            <w:left w:w="0" w:type="dxa"/>
            <w:bottom w:w="0" w:type="dxa"/>
            <w:right w:w="0" w:type="dxa"/>
          </w:tblCellMar>
        </w:tblPrEx>
        <w:trPr>
          <w:gridAfter w:val="1"/>
          <w:wAfter w:w="7" w:type="pct"/>
          <w:trHeight w:val="3155"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对接</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按医保信息系统的技术和接口标准实现与医保信息系统有效对接，配备相关 联网设施设备。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1.《医疗机构医疗保障定点管理暂行办法》；</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按照规定与医保信息系统进行对接，得分；未按照规定与医保信息系统进行对接，不得分。</w:t>
            </w:r>
          </w:p>
        </w:tc>
      </w:tr>
      <w:tr>
        <w:tblPrEx>
          <w:tblCellMar>
            <w:top w:w="0" w:type="dxa"/>
            <w:left w:w="0" w:type="dxa"/>
            <w:bottom w:w="0" w:type="dxa"/>
            <w:right w:w="0" w:type="dxa"/>
          </w:tblCellMar>
        </w:tblPrEx>
        <w:trPr>
          <w:gridAfter w:val="1"/>
          <w:wAfter w:w="7" w:type="pct"/>
          <w:trHeight w:val="147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安全</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确保网络与互联网物理隔离，</w:t>
            </w:r>
            <w:r>
              <w:rPr>
                <w:rFonts w:hint="eastAsia" w:ascii="仿宋_GB2312" w:hAnsi="仿宋_GB2312" w:eastAsia="仿宋_GB2312" w:cs="仿宋_GB2312"/>
                <w:color w:val="auto"/>
                <w:sz w:val="21"/>
                <w:szCs w:val="21"/>
                <w:lang w:eastAsia="zh-CN"/>
              </w:rPr>
              <w:t>与其他</w:t>
            </w:r>
            <w:r>
              <w:rPr>
                <w:rFonts w:hint="eastAsia" w:ascii="仿宋_GB2312" w:hAnsi="仿宋_GB2312" w:eastAsia="仿宋_GB2312" w:cs="仿宋_GB2312"/>
                <w:color w:val="auto"/>
                <w:sz w:val="21"/>
                <w:szCs w:val="21"/>
              </w:rPr>
              <w:t>外部网络联网采用有效的安全隔离措施。</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《医疗机构医疗保障定点管理暂行办法》；2.《青海省医疗保障定点医疗机构服务协议（2019版）》。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业务</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编码</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按照医保信息业务编码标准进行数据处理。 </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《医疗机构医疗保障定点管理暂行办法》；2.《青海省医疗保障定点医疗机构服务协议（2019版）》。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57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数据</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上传</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即时传输参保人员就医、结算及其他相关信息，保证信息的真实、准确、完整。</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1.《医疗机构医疗保障定点管理暂行办法》；2.《青海省医疗保障定点医疗机构服务协议（2019版）》。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根据医保局端口填报上报内容评分，期内未发生信息传输不规范事件得满分。未按信息编码规则上传数据的；上传信息数据不全面、不准确、未按时限要求的；每出现一例扣</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分，扣完为止。</w:t>
            </w:r>
          </w:p>
        </w:tc>
      </w:tr>
      <w:tr>
        <w:tblPrEx>
          <w:tblCellMar>
            <w:top w:w="0" w:type="dxa"/>
            <w:left w:w="0" w:type="dxa"/>
            <w:bottom w:w="0" w:type="dxa"/>
            <w:right w:w="0" w:type="dxa"/>
          </w:tblCellMar>
        </w:tblPrEx>
        <w:trPr>
          <w:gridAfter w:val="1"/>
          <w:wAfter w:w="7" w:type="pct"/>
          <w:trHeight w:val="3807"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数据</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安全</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做好与医保相关信息系统的安全保障工作，遵守数据安全有关制度，保护参 保人员隐私。 </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02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系统管理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应急</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预案</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制定应急预案，发生故障时及时通知医保经办机构并启动应急预案；保证参保人员正常就医结算。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制定应急预案</w:t>
            </w:r>
            <w:r>
              <w:rPr>
                <w:rFonts w:hint="eastAsia" w:ascii="仿宋_GB2312" w:hAnsi="仿宋_GB2312" w:eastAsia="仿宋_GB2312" w:cs="仿宋_GB2312"/>
                <w:color w:val="auto"/>
                <w:sz w:val="21"/>
                <w:szCs w:val="21"/>
                <w:lang w:val="en-US" w:eastAsia="zh-CN"/>
              </w:rPr>
              <w:t>并按照预案做好应急处置的，得分；反之，不得分。</w:t>
            </w:r>
          </w:p>
        </w:tc>
      </w:tr>
      <w:tr>
        <w:tblPrEx>
          <w:tblCellMar>
            <w:top w:w="0" w:type="dxa"/>
            <w:left w:w="0" w:type="dxa"/>
            <w:bottom w:w="0" w:type="dxa"/>
            <w:right w:w="0" w:type="dxa"/>
          </w:tblCellMar>
        </w:tblPrEx>
        <w:trPr>
          <w:gridAfter w:val="1"/>
          <w:wAfter w:w="7" w:type="pct"/>
          <w:trHeight w:val="2122"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制度</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严格执行政府部门的医院财务制度、会计制度、对账制度等，规范财务管理。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《医疗机构医疗保障定点管理暂行办法》。 </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按照规定执行医疗机构财务制度和会计制度，得分；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未按照规定执行医疗机构财务制度和会计制度，不得分。</w:t>
            </w:r>
          </w:p>
        </w:tc>
      </w:tr>
      <w:tr>
        <w:tblPrEx>
          <w:tblCellMar>
            <w:top w:w="0" w:type="dxa"/>
            <w:left w:w="0" w:type="dxa"/>
            <w:bottom w:w="0" w:type="dxa"/>
            <w:right w:w="0" w:type="dxa"/>
          </w:tblCellMar>
        </w:tblPrEx>
        <w:trPr>
          <w:gridAfter w:val="1"/>
          <w:wAfter w:w="7" w:type="pct"/>
          <w:trHeight w:val="2137"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账表</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设立总账、现金账、银行账、明细账等完整财务账表；业务往来记录完整、 真实。</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按照规定执行医疗机构财务制度和会计制度，得分；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未按照规定执行医疗机构财务制度和会计制度，不得分。</w:t>
            </w:r>
          </w:p>
        </w:tc>
      </w:tr>
      <w:tr>
        <w:tblPrEx>
          <w:tblCellMar>
            <w:top w:w="0" w:type="dxa"/>
            <w:left w:w="0" w:type="dxa"/>
            <w:bottom w:w="0" w:type="dxa"/>
            <w:right w:w="0" w:type="dxa"/>
          </w:tblCellMar>
        </w:tblPrEx>
        <w:trPr>
          <w:gridAfter w:val="1"/>
          <w:wAfter w:w="7" w:type="pct"/>
          <w:trHeight w:val="417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进销</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存管理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按照规定建立真实、完整、准确的购销存台账。建立药品及医用材料真实、完整、准确的购销存台账；保存真实完整的购进和使用记录。</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按规定保管财务账目、记账凭证、药品和医疗耗材出入库记录等涉及基金使用的相关资料，得分；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未按规定保管财务账目、记账凭证、（这个跟进销存的关系？）药品和医疗耗材出入库记录等涉及基金使用的相关资料，不得分。</w:t>
            </w:r>
          </w:p>
        </w:tc>
      </w:tr>
      <w:tr>
        <w:tblPrEx>
          <w:tblCellMar>
            <w:top w:w="0" w:type="dxa"/>
            <w:left w:w="0" w:type="dxa"/>
            <w:bottom w:w="0" w:type="dxa"/>
            <w:right w:w="0" w:type="dxa"/>
          </w:tblCellMar>
        </w:tblPrEx>
        <w:trPr>
          <w:gridAfter w:val="1"/>
          <w:wAfter w:w="7" w:type="pct"/>
          <w:trHeight w:val="3099"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票据</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规范票据领购、使用、保管及核销等管理。</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按照规定制定并执行票据管理办法，得分；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未按照规定制定并执行票据管理办法，不得分。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药品耗材管理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如实向医保经办机构报送药品、耗材的采购价格和数量。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《医疗机构医疗保障定点管理暂行办法》；</w:t>
            </w:r>
          </w:p>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2174"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基金管理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支付</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范围</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定点医疗机构应当确保医疗保障基金支付的费用符合规定的支付范围。</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 xml:space="preserve">《医疗保障基金使用监督管理条例》； </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278"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基金管理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收费</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标准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按医疗服务项目和价格收费标准及其说明等规定进行收费，并将收费标准公布在醒目位置。</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 《青海省医疗保障定点医疗机构服务协议（2019版）》。 </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3459"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基金管理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费用</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结算</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进行医保费用直接结算，提供收费票据、费用明细和相关资料。不得将医保基金支付的项目让参保人员负担。</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1.《医疗保障基金使用监督管理条例》；2.《医疗机构医疗保障定点管理暂行办法》；3.《青海省医疗保障定点医疗机构服务协议（2019版）》。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04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基金管理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支付</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方式</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按要求开展DRG/DIP支付方式改革</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《医疗机构医疗保障定点管理暂行办法》。 </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，得分；未按照规定</w:t>
            </w:r>
            <w:r>
              <w:rPr>
                <w:rFonts w:hint="eastAsia" w:ascii="仿宋_GB2312" w:hAnsi="仿宋_GB2312" w:eastAsia="仿宋_GB2312" w:cs="仿宋_GB2312"/>
                <w:color w:val="auto"/>
                <w:sz w:val="21"/>
                <w:szCs w:val="21"/>
                <w:lang w:val="en-US" w:eastAsia="zh-CN"/>
              </w:rPr>
              <w:t>执行的</w:t>
            </w:r>
            <w:r>
              <w:rPr>
                <w:rFonts w:hint="eastAsia" w:ascii="仿宋_GB2312" w:hAnsi="仿宋_GB2312" w:eastAsia="仿宋_GB2312" w:cs="仿宋_GB2312"/>
                <w:color w:val="auto"/>
                <w:sz w:val="21"/>
                <w:szCs w:val="21"/>
                <w:lang w:eastAsia="zh-CN"/>
              </w:rPr>
              <w:t>，不得分。</w:t>
            </w:r>
          </w:p>
        </w:tc>
      </w:tr>
      <w:tr>
        <w:tblPrEx>
          <w:tblCellMar>
            <w:top w:w="0" w:type="dxa"/>
            <w:left w:w="0" w:type="dxa"/>
            <w:bottom w:w="0" w:type="dxa"/>
            <w:right w:w="0" w:type="dxa"/>
          </w:tblCellMar>
        </w:tblPrEx>
        <w:trPr>
          <w:gridAfter w:val="1"/>
          <w:wAfter w:w="7" w:type="pct"/>
          <w:trHeight w:val="187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基金管理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风险</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防控</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定期分析排查院内贯彻医保政策、执行收费规定、有效控制费用和防范欺诈骗保的风险点，积极采取医保风险防控措施。</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 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制定医保风险防控制度，定期开展排查并有记录，得分；未按照规定制定医保风险防控制度，未定期开展排查，不得分。</w:t>
            </w:r>
          </w:p>
        </w:tc>
      </w:tr>
      <w:tr>
        <w:tblPrEx>
          <w:tblCellMar>
            <w:top w:w="0" w:type="dxa"/>
            <w:left w:w="0" w:type="dxa"/>
            <w:bottom w:w="0" w:type="dxa"/>
            <w:right w:w="0" w:type="dxa"/>
          </w:tblCellMar>
        </w:tblPrEx>
        <w:trPr>
          <w:gridAfter w:val="1"/>
          <w:wAfter w:w="7" w:type="pct"/>
          <w:trHeight w:val="108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一般处理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约谈</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0‰</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对定点医疗机构医保违规行为的处理方式。</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期内被医保部门约谈1次扣</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CN"/>
              </w:rPr>
              <w:t>分；</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次及以上不得分。</w:t>
            </w:r>
          </w:p>
        </w:tc>
      </w:tr>
      <w:tr>
        <w:tblPrEx>
          <w:tblCellMar>
            <w:top w:w="0" w:type="dxa"/>
            <w:left w:w="0" w:type="dxa"/>
            <w:bottom w:w="0" w:type="dxa"/>
            <w:right w:w="0" w:type="dxa"/>
          </w:tblCellMar>
        </w:tblPrEx>
        <w:trPr>
          <w:gridAfter w:val="1"/>
          <w:wAfter w:w="7" w:type="pct"/>
          <w:trHeight w:val="1348"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一般处理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通报</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0‰</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对定点医疗机构医保违规行为的处理方式。</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1.《医疗保障基金使用监督管理条例》；2.《医疗机构医疗保障定点管理暂行办法》。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期内被医保部门通报1次扣10分；2次及以上不得分。</w:t>
            </w:r>
          </w:p>
        </w:tc>
      </w:tr>
      <w:tr>
        <w:tblPrEx>
          <w:tblCellMar>
            <w:top w:w="0" w:type="dxa"/>
            <w:left w:w="0" w:type="dxa"/>
            <w:bottom w:w="0" w:type="dxa"/>
            <w:right w:w="0" w:type="dxa"/>
          </w:tblCellMar>
        </w:tblPrEx>
        <w:trPr>
          <w:gridAfter w:val="1"/>
          <w:wAfter w:w="7" w:type="pct"/>
          <w:trHeight w:val="105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一般处理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整改</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0‰</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对定点医疗机构医保违规行为的处理方式。</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每次扣10分。2次及以上不得分。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费用处理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追回、拒付费用占比</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对定点医疗机构医保违规行为的处理方式，对已支付的本金追回，对未支付的本金不再支付。</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《医疗保障基金使用监督管理条例》；</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计算公式：追回、拒付费用/医保总额费用；</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低优指标，指标得分按照得分系数=（最大值－实际值）/（最大值－最小值）计分。</w:t>
            </w:r>
          </w:p>
        </w:tc>
      </w:tr>
      <w:tr>
        <w:tblPrEx>
          <w:tblCellMar>
            <w:top w:w="0" w:type="dxa"/>
            <w:left w:w="0" w:type="dxa"/>
            <w:bottom w:w="0" w:type="dxa"/>
            <w:right w:w="0" w:type="dxa"/>
          </w:tblCellMar>
        </w:tblPrEx>
        <w:trPr>
          <w:gridAfter w:val="1"/>
          <w:wAfter w:w="7" w:type="pct"/>
          <w:trHeight w:val="2996"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费用处理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自查自纠费用占比</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对定点医疗机构医保违规行为的处理方式，对未支付的本金不再支付。</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计算公式：自查自纠费用/医保总额费用；</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高优指标，指标得分按照得分系数=（实际值－最小值）/（最大值－最小值）计分。</w:t>
            </w:r>
          </w:p>
        </w:tc>
      </w:tr>
      <w:tr>
        <w:tblPrEx>
          <w:tblCellMar>
            <w:top w:w="0" w:type="dxa"/>
            <w:left w:w="0" w:type="dxa"/>
            <w:bottom w:w="0" w:type="dxa"/>
            <w:right w:w="0" w:type="dxa"/>
          </w:tblCellMar>
        </w:tblPrEx>
        <w:trPr>
          <w:gridAfter w:val="1"/>
          <w:wAfter w:w="7" w:type="pct"/>
          <w:trHeight w:val="2462"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医保监管</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暂停协议</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对定点医疗机构医保违规行为的处理方式。</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2.《医疗机构医疗保障定点管理暂行办法》。</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暂停医保服务协议月数累计≤3个月扣</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CN"/>
              </w:rPr>
              <w:t>分；＞3个月且≤6个月扣</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lang w:eastAsia="zh-CN"/>
              </w:rPr>
              <w:t>分；＞6个月扣</w:t>
            </w: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lang w:eastAsia="zh-CN"/>
              </w:rPr>
              <w:t>分。</w:t>
            </w:r>
          </w:p>
        </w:tc>
      </w:tr>
      <w:tr>
        <w:tblPrEx>
          <w:tblCellMar>
            <w:top w:w="0" w:type="dxa"/>
            <w:left w:w="0" w:type="dxa"/>
            <w:bottom w:w="0" w:type="dxa"/>
            <w:right w:w="0" w:type="dxa"/>
          </w:tblCellMar>
        </w:tblPrEx>
        <w:trPr>
          <w:gridAfter w:val="1"/>
          <w:wAfter w:w="7" w:type="pct"/>
          <w:trHeight w:val="3415"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制度建设</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内部</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制度</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val="0"/>
                <w:bCs/>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建立健全院内医保管理、费用管控、风险防范、监督检查、考核奖惩等制度并认真执行。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按照规定制定相关制度并认真执行，得分；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按照规定未制定完善相关制度并认真执行，每出现一例扣</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分；</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未按照规定制定相关制度并认真执行，不得分。</w:t>
            </w:r>
          </w:p>
        </w:tc>
      </w:tr>
      <w:tr>
        <w:tblPrEx>
          <w:tblCellMar>
            <w:top w:w="0" w:type="dxa"/>
            <w:left w:w="0" w:type="dxa"/>
            <w:bottom w:w="0" w:type="dxa"/>
            <w:right w:w="0" w:type="dxa"/>
          </w:tblCellMar>
        </w:tblPrEx>
        <w:trPr>
          <w:gridAfter w:val="1"/>
          <w:wAfter w:w="7" w:type="pct"/>
          <w:trHeight w:val="216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管理体制</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b w:val="0"/>
                <w:bCs/>
                <w:color w:val="auto"/>
                <w:sz w:val="21"/>
                <w:szCs w:val="21"/>
                <w:lang w:eastAsia="zh-CN"/>
              </w:rPr>
            </w:pPr>
            <w:r>
              <w:rPr>
                <w:rFonts w:hint="eastAsia" w:ascii="仿宋_GB2312" w:hAnsi="仿宋_GB2312" w:eastAsia="仿宋_GB2312" w:cs="仿宋_GB2312"/>
                <w:b w:val="0"/>
                <w:bCs/>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明确院领导分管医保工作，健全医保管理部门，配备专</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兼</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职管理人员并适应</w:t>
            </w:r>
            <w:r>
              <w:rPr>
                <w:rFonts w:hint="eastAsia" w:ascii="仿宋_GB2312" w:hAnsi="仿宋_GB2312" w:eastAsia="仿宋_GB2312" w:cs="仿宋_GB2312"/>
                <w:color w:val="auto"/>
                <w:sz w:val="21"/>
                <w:szCs w:val="21"/>
                <w:lang w:val="en-US" w:eastAsia="zh-CN"/>
              </w:rPr>
              <w:t>工作</w:t>
            </w:r>
            <w:r>
              <w:rPr>
                <w:rFonts w:hint="eastAsia" w:ascii="仿宋_GB2312" w:hAnsi="仿宋_GB2312" w:eastAsia="仿宋_GB2312" w:cs="仿宋_GB2312"/>
                <w:color w:val="auto"/>
                <w:sz w:val="21"/>
                <w:szCs w:val="21"/>
              </w:rPr>
              <w:t>需要。</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 xml:space="preserve">《医疗保障基金使用监督管理条例》； </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 xml:space="preserve">《医疗机构医疗保障定点管理暂行办法》； </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 xml:space="preserve">《青海省医疗保障定点医疗机构服务协议（2019版）》。 </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分管医保院领导</w:t>
            </w:r>
            <w:r>
              <w:rPr>
                <w:rFonts w:hint="eastAsia" w:ascii="仿宋_GB2312" w:hAnsi="仿宋_GB2312" w:eastAsia="仿宋_GB2312" w:cs="仿宋_GB2312"/>
                <w:color w:val="auto"/>
                <w:sz w:val="21"/>
                <w:szCs w:val="21"/>
                <w:lang w:val="en-US" w:eastAsia="zh-CN"/>
              </w:rPr>
              <w:t>明确</w:t>
            </w:r>
            <w:r>
              <w:rPr>
                <w:rFonts w:hint="eastAsia" w:ascii="仿宋_GB2312" w:hAnsi="仿宋_GB2312" w:eastAsia="仿宋_GB2312" w:cs="仿宋_GB2312"/>
                <w:color w:val="auto"/>
                <w:sz w:val="21"/>
                <w:szCs w:val="21"/>
                <w:lang w:eastAsia="zh-CN"/>
              </w:rPr>
              <w:t>，医保管理部门健全，配备了专（兼）职管理人员</w:t>
            </w:r>
            <w:r>
              <w:rPr>
                <w:rFonts w:hint="eastAsia" w:ascii="仿宋_GB2312" w:hAnsi="仿宋_GB2312" w:eastAsia="仿宋_GB2312" w:cs="仿宋_GB2312"/>
                <w:color w:val="auto"/>
                <w:sz w:val="21"/>
                <w:szCs w:val="21"/>
                <w:lang w:val="en-US" w:eastAsia="zh-CN"/>
              </w:rPr>
              <w:t>的，得分；反之不得分。</w:t>
            </w:r>
          </w:p>
        </w:tc>
      </w:tr>
      <w:tr>
        <w:tblPrEx>
          <w:tblCellMar>
            <w:top w:w="0" w:type="dxa"/>
            <w:left w:w="0" w:type="dxa"/>
            <w:bottom w:w="0" w:type="dxa"/>
            <w:right w:w="0" w:type="dxa"/>
          </w:tblCellMar>
        </w:tblPrEx>
        <w:trPr>
          <w:gridAfter w:val="1"/>
          <w:wAfter w:w="7" w:type="pct"/>
          <w:trHeight w:val="136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管理体制</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教育</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培训</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b w:val="0"/>
                <w:bCs/>
                <w:color w:val="auto"/>
                <w:sz w:val="21"/>
                <w:szCs w:val="21"/>
                <w:lang w:eastAsia="zh-CN"/>
              </w:rPr>
            </w:pPr>
            <w:r>
              <w:rPr>
                <w:rFonts w:hint="eastAsia" w:ascii="仿宋_GB2312" w:hAnsi="仿宋_GB2312" w:eastAsia="仿宋_GB2312" w:cs="仿宋_GB2312"/>
                <w:b w:val="0"/>
                <w:bCs/>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有计划开展医务人员医德医风、行业自律教育，组织医保制度、政策和管理要求等业务培训。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 xml:space="preserve">《医疗保障基金使用监督管理条例》； </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 </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认真组织开展教育培训，成效明显的，得分；未开展教育培训或流于形式的，不得分。</w:t>
            </w:r>
          </w:p>
        </w:tc>
      </w:tr>
      <w:tr>
        <w:tblPrEx>
          <w:tblCellMar>
            <w:top w:w="0" w:type="dxa"/>
            <w:left w:w="0" w:type="dxa"/>
            <w:bottom w:w="0" w:type="dxa"/>
            <w:right w:w="0" w:type="dxa"/>
          </w:tblCellMar>
        </w:tblPrEx>
        <w:trPr>
          <w:gridAfter w:val="1"/>
          <w:wAfter w:w="7" w:type="pct"/>
          <w:trHeight w:val="1849"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管理行为</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科室</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b w:val="0"/>
                <w:bCs/>
                <w:color w:val="auto"/>
                <w:sz w:val="21"/>
                <w:szCs w:val="21"/>
                <w:lang w:eastAsia="zh-CN"/>
              </w:rPr>
            </w:pPr>
            <w:r>
              <w:rPr>
                <w:rFonts w:hint="eastAsia" w:ascii="仿宋_GB2312" w:hAnsi="仿宋_GB2312" w:eastAsia="仿宋_GB2312" w:cs="仿宋_GB2312"/>
                <w:b w:val="0"/>
                <w:bCs/>
                <w:color w:val="auto"/>
                <w:sz w:val="21"/>
                <w:szCs w:val="21"/>
                <w:lang w:eastAsia="zh-CN"/>
              </w:rPr>
              <w:t>10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明确并落实科室医保管理责任</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规范</w:t>
            </w:r>
            <w:r>
              <w:rPr>
                <w:rFonts w:hint="eastAsia" w:ascii="仿宋_GB2312" w:hAnsi="仿宋_GB2312" w:eastAsia="仿宋_GB2312" w:cs="仿宋_GB2312"/>
                <w:color w:val="auto"/>
                <w:sz w:val="21"/>
                <w:szCs w:val="21"/>
              </w:rPr>
              <w:t xml:space="preserve">开展医疗服务。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《青海省医疗保障定点医疗机构服务协议（2019版）》。 </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科室医保管理责任</w:t>
            </w:r>
            <w:r>
              <w:rPr>
                <w:rFonts w:hint="eastAsia" w:ascii="仿宋_GB2312" w:hAnsi="仿宋_GB2312" w:eastAsia="仿宋_GB2312" w:cs="仿宋_GB2312"/>
                <w:color w:val="auto"/>
                <w:sz w:val="21"/>
                <w:szCs w:val="21"/>
                <w:lang w:val="en-US" w:eastAsia="zh-CN"/>
              </w:rPr>
              <w:t>明确，管理规范的得分；反之不得分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管理行为</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自查</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自纠</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b w:val="0"/>
                <w:bCs/>
                <w:color w:val="auto"/>
                <w:sz w:val="21"/>
                <w:szCs w:val="21"/>
                <w:lang w:eastAsia="zh-CN"/>
              </w:rPr>
            </w:pP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定期检查医院医保基金使用情况，及时纠正医疗保障基金使用不规范的行为。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《医疗保障基金使用监督管理条例》；</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《医疗机构医疗保障定点管理暂行办法》。</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能够</w:t>
            </w:r>
            <w:r>
              <w:rPr>
                <w:rFonts w:hint="eastAsia" w:ascii="仿宋_GB2312" w:hAnsi="仿宋_GB2312" w:eastAsia="仿宋_GB2312" w:cs="仿宋_GB2312"/>
                <w:color w:val="auto"/>
                <w:sz w:val="21"/>
                <w:szCs w:val="21"/>
                <w:lang w:eastAsia="zh-CN"/>
              </w:rPr>
              <w:t>定期检查医院医保基金使用情况，及时纠正医疗保障基金使用不规范的行为</w:t>
            </w:r>
            <w:r>
              <w:rPr>
                <w:rFonts w:hint="eastAsia" w:ascii="仿宋_GB2312" w:hAnsi="仿宋_GB2312" w:eastAsia="仿宋_GB2312" w:cs="仿宋_GB2312"/>
                <w:color w:val="auto"/>
                <w:sz w:val="21"/>
                <w:szCs w:val="21"/>
                <w:lang w:val="en-US" w:eastAsia="zh-CN"/>
              </w:rPr>
              <w:t>的，得分；反之不得分</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管理行为</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举报</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投诉</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网上、信函、电话投诉等医保服务情况。举报投诉 设立有明显标识的举报投诉窗口、公布举报投诉电话，及时妥善处理并定期 发布处理情况。</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《青海省医疗保障定点医疗机构服务协议（2019版）》。</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网上、信函、电话投诉等，查证属实的，1次扣10分，扣完为止。</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自律管理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管理行为</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廉洁</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自律</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医保基金使用中，医院及其工作人员不得收受贿赂或者取得其他非法收入。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医院及其工作人员收受贿赂或者取得其他非法收入</w:t>
            </w:r>
            <w:r>
              <w:rPr>
                <w:rFonts w:hint="eastAsia" w:ascii="仿宋_GB2312" w:hAnsi="仿宋_GB2312" w:eastAsia="仿宋_GB2312" w:cs="仿宋_GB2312"/>
                <w:color w:val="auto"/>
                <w:sz w:val="21"/>
                <w:szCs w:val="21"/>
                <w:lang w:val="en-US" w:eastAsia="zh-CN"/>
              </w:rPr>
              <w:t>的，不得分；不存在以上情形的，得分。</w:t>
            </w:r>
          </w:p>
        </w:tc>
      </w:tr>
      <w:tr>
        <w:tblPrEx>
          <w:tblCellMar>
            <w:top w:w="0" w:type="dxa"/>
            <w:left w:w="0" w:type="dxa"/>
            <w:bottom w:w="0" w:type="dxa"/>
            <w:right w:w="0" w:type="dxa"/>
          </w:tblCellMar>
        </w:tblPrEx>
        <w:trPr>
          <w:gridAfter w:val="1"/>
          <w:wAfter w:w="7" w:type="pct"/>
          <w:trHeight w:val="1051"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处罚</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被除医保部门以外的政府行政部门给予行政处罚情况。 </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每被相关行政部门给予行政处罚一次，扣1</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lang w:eastAsia="zh-CN"/>
              </w:rPr>
              <w:t>分；扣完为止。</w:t>
            </w:r>
          </w:p>
        </w:tc>
      </w:tr>
      <w:tr>
        <w:tblPrEx>
          <w:tblCellMar>
            <w:top w:w="0" w:type="dxa"/>
            <w:left w:w="0" w:type="dxa"/>
            <w:bottom w:w="0" w:type="dxa"/>
            <w:right w:w="0" w:type="dxa"/>
          </w:tblCellMar>
        </w:tblPrEx>
        <w:trPr>
          <w:gridAfter w:val="1"/>
          <w:wAfter w:w="7" w:type="pct"/>
          <w:trHeight w:val="23"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纪检处理</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纪检处理</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纪检</w:t>
            </w:r>
          </w:p>
          <w:p>
            <w:pPr>
              <w:spacing w:line="23"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处理</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因医保方面问题，受到纪律检查或监察部门处理。 </w:t>
            </w:r>
          </w:p>
          <w:p>
            <w:pPr>
              <w:spacing w:line="23" w:lineRule="atLeast"/>
              <w:jc w:val="both"/>
              <w:textAlignment w:val="center"/>
              <w:rPr>
                <w:rFonts w:hint="eastAsia" w:ascii="仿宋_GB2312" w:hAnsi="仿宋_GB2312" w:eastAsia="仿宋_GB2312" w:cs="仿宋_GB2312"/>
                <w:color w:val="auto"/>
                <w:sz w:val="21"/>
                <w:szCs w:val="21"/>
              </w:rPr>
            </w:pP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每被</w:t>
            </w:r>
            <w:r>
              <w:rPr>
                <w:rFonts w:hint="eastAsia" w:ascii="仿宋_GB2312" w:hAnsi="仿宋_GB2312" w:eastAsia="仿宋_GB2312" w:cs="仿宋_GB2312"/>
                <w:color w:val="auto"/>
                <w:sz w:val="21"/>
                <w:szCs w:val="21"/>
                <w:lang w:val="en-US" w:eastAsia="zh-CN"/>
              </w:rPr>
              <w:t>纪检处理</w:t>
            </w:r>
            <w:r>
              <w:rPr>
                <w:rFonts w:hint="eastAsia" w:ascii="仿宋_GB2312" w:hAnsi="仿宋_GB2312" w:eastAsia="仿宋_GB2312" w:cs="仿宋_GB2312"/>
                <w:color w:val="auto"/>
                <w:sz w:val="21"/>
                <w:szCs w:val="21"/>
                <w:lang w:eastAsia="zh-CN"/>
              </w:rPr>
              <w:t>一次，扣1</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lang w:eastAsia="zh-CN"/>
              </w:rPr>
              <w:t>分；扣完为止。</w:t>
            </w:r>
          </w:p>
        </w:tc>
      </w:tr>
      <w:tr>
        <w:tblPrEx>
          <w:tblCellMar>
            <w:top w:w="0" w:type="dxa"/>
            <w:left w:w="0" w:type="dxa"/>
            <w:bottom w:w="0" w:type="dxa"/>
            <w:right w:w="0" w:type="dxa"/>
          </w:tblCellMar>
        </w:tblPrEx>
        <w:trPr>
          <w:gridAfter w:val="1"/>
          <w:wAfter w:w="7" w:type="pct"/>
          <w:trHeight w:val="1720"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社会</w:t>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信用</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历史信用</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历史</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守信</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对于</w:t>
            </w:r>
            <w:r>
              <w:rPr>
                <w:rFonts w:hint="eastAsia" w:ascii="仿宋_GB2312" w:hAnsi="仿宋_GB2312" w:eastAsia="仿宋_GB2312" w:cs="仿宋_GB2312"/>
                <w:color w:val="auto"/>
                <w:sz w:val="21"/>
                <w:szCs w:val="21"/>
                <w:lang w:val="en-US" w:eastAsia="zh-CN"/>
              </w:rPr>
              <w:t>上一评价周期</w:t>
            </w:r>
            <w:r>
              <w:rPr>
                <w:rFonts w:hint="eastAsia" w:ascii="仿宋_GB2312" w:hAnsi="仿宋_GB2312" w:eastAsia="仿宋_GB2312" w:cs="仿宋_GB2312"/>
                <w:color w:val="auto"/>
                <w:sz w:val="21"/>
                <w:szCs w:val="21"/>
              </w:rPr>
              <w:t>未发生违规行为的守信机构，予以奖励。</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《青海省公共信用信息条例》。</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对上一评价周期</w:t>
            </w:r>
            <w:r>
              <w:rPr>
                <w:rFonts w:hint="eastAsia" w:ascii="仿宋_GB2312" w:hAnsi="仿宋_GB2312" w:eastAsia="仿宋_GB2312" w:cs="仿宋_GB2312"/>
                <w:color w:val="auto"/>
                <w:sz w:val="21"/>
                <w:szCs w:val="21"/>
                <w:lang w:eastAsia="zh-CN"/>
              </w:rPr>
              <w:t>未发生违规行为的机构总分加</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0分；</w:t>
            </w:r>
            <w:r>
              <w:rPr>
                <w:rFonts w:hint="eastAsia" w:ascii="仿宋_GB2312" w:hAnsi="仿宋_GB2312" w:eastAsia="仿宋_GB2312" w:cs="仿宋_GB2312"/>
                <w:color w:val="auto"/>
                <w:sz w:val="21"/>
                <w:szCs w:val="21"/>
                <w:lang w:val="en-US" w:eastAsia="zh-CN"/>
              </w:rPr>
              <w:t>反之不加分</w:t>
            </w:r>
            <w:r>
              <w:rPr>
                <w:rFonts w:hint="eastAsia" w:ascii="仿宋_GB2312" w:hAnsi="仿宋_GB2312" w:eastAsia="仿宋_GB2312" w:cs="仿宋_GB2312"/>
                <w:color w:val="auto"/>
                <w:sz w:val="21"/>
                <w:szCs w:val="21"/>
                <w:lang w:eastAsia="zh-CN"/>
              </w:rPr>
              <w:t>。</w:t>
            </w:r>
          </w:p>
        </w:tc>
      </w:tr>
      <w:tr>
        <w:tblPrEx>
          <w:tblCellMar>
            <w:top w:w="0" w:type="dxa"/>
            <w:left w:w="0" w:type="dxa"/>
            <w:bottom w:w="0" w:type="dxa"/>
            <w:right w:w="0" w:type="dxa"/>
          </w:tblCellMar>
        </w:tblPrEx>
        <w:trPr>
          <w:gridAfter w:val="1"/>
          <w:wAfter w:w="7" w:type="pct"/>
          <w:trHeight w:val="1750" w:hRule="atLeast"/>
          <w:jc w:val="center"/>
        </w:trPr>
        <w:tc>
          <w:tcPr>
            <w:tcW w:w="243"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社会</w:t>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信用</w:t>
            </w:r>
          </w:p>
        </w:tc>
        <w:tc>
          <w:tcPr>
            <w:tcW w:w="23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奖励情况</w:t>
            </w:r>
          </w:p>
        </w:tc>
        <w:tc>
          <w:tcPr>
            <w:tcW w:w="28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表扬</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嘉奖</w:t>
            </w:r>
          </w:p>
        </w:tc>
        <w:tc>
          <w:tcPr>
            <w:tcW w:w="28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p>
        </w:tc>
        <w:tc>
          <w:tcPr>
            <w:tcW w:w="267"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w:t>
            </w:r>
            <w:r>
              <w:rPr>
                <w:rFonts w:hint="eastAsia" w:ascii="仿宋_GB2312" w:hAnsi="仿宋_GB2312" w:eastAsia="仿宋_GB2312" w:cs="仿宋_GB2312"/>
                <w:color w:val="auto"/>
                <w:sz w:val="21"/>
                <w:szCs w:val="21"/>
              </w:rPr>
              <w:t>‰</w:t>
            </w:r>
          </w:p>
        </w:tc>
        <w:tc>
          <w:tcPr>
            <w:tcW w:w="128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受到市级及以上医疗保障部门表扬嘉奖。</w:t>
            </w:r>
          </w:p>
        </w:tc>
        <w:tc>
          <w:tcPr>
            <w:tcW w:w="13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《青海省公共信用信息条例》。</w:t>
            </w:r>
          </w:p>
        </w:tc>
        <w:tc>
          <w:tcPr>
            <w:tcW w:w="107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每次总分加10分，最多加</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0分。</w:t>
            </w:r>
          </w:p>
        </w:tc>
      </w:tr>
      <w:tr>
        <w:tblPrEx>
          <w:tblCellMar>
            <w:top w:w="0" w:type="dxa"/>
            <w:left w:w="0" w:type="dxa"/>
            <w:bottom w:w="0" w:type="dxa"/>
            <w:right w:w="0" w:type="dxa"/>
          </w:tblCellMar>
        </w:tblPrEx>
        <w:trPr>
          <w:trHeight w:val="1746" w:hRule="atLeast"/>
          <w:jc w:val="center"/>
        </w:trPr>
        <w:tc>
          <w:tcPr>
            <w:tcW w:w="243" w:type="pct"/>
            <w:tcBorders>
              <w:top w:val="single" w:color="auto" w:sz="4" w:space="0"/>
              <w:left w:val="single" w:color="000000" w:sz="8" w:space="0"/>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一票</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否决</w:t>
            </w:r>
          </w:p>
        </w:tc>
        <w:tc>
          <w:tcPr>
            <w:tcW w:w="237" w:type="pct"/>
            <w:tcBorders>
              <w:top w:val="single" w:color="auto" w:sz="4" w:space="0"/>
              <w:left w:val="nil"/>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司法处理</w:t>
            </w:r>
          </w:p>
        </w:tc>
        <w:tc>
          <w:tcPr>
            <w:tcW w:w="284"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欺诈</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骗保</w:t>
            </w:r>
          </w:p>
        </w:tc>
        <w:tc>
          <w:tcPr>
            <w:tcW w:w="28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26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1283"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定点医疗机构及其工作人员因欺诈骗保被追究刑事责任。</w:t>
            </w:r>
          </w:p>
        </w:tc>
        <w:tc>
          <w:tcPr>
            <w:tcW w:w="1308"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tc>
        <w:tc>
          <w:tcPr>
            <w:tcW w:w="1086" w:type="pct"/>
            <w:gridSpan w:val="2"/>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一票否决。</w:t>
            </w:r>
          </w:p>
        </w:tc>
      </w:tr>
      <w:tr>
        <w:tblPrEx>
          <w:tblCellMar>
            <w:top w:w="0" w:type="dxa"/>
            <w:left w:w="0" w:type="dxa"/>
            <w:bottom w:w="0" w:type="dxa"/>
            <w:right w:w="0" w:type="dxa"/>
          </w:tblCellMar>
        </w:tblPrEx>
        <w:trPr>
          <w:trHeight w:val="1997" w:hRule="atLeast"/>
          <w:jc w:val="center"/>
        </w:trPr>
        <w:tc>
          <w:tcPr>
            <w:tcW w:w="243" w:type="pct"/>
            <w:tcBorders>
              <w:top w:val="single" w:color="auto" w:sz="4" w:space="0"/>
              <w:left w:val="single" w:color="000000" w:sz="8" w:space="0"/>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一票</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否决</w:t>
            </w:r>
          </w:p>
        </w:tc>
        <w:tc>
          <w:tcPr>
            <w:tcW w:w="237" w:type="pct"/>
            <w:tcBorders>
              <w:top w:val="single" w:color="auto" w:sz="4" w:space="0"/>
              <w:left w:val="nil"/>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失信被执行人</w:t>
            </w:r>
          </w:p>
        </w:tc>
        <w:tc>
          <w:tcPr>
            <w:tcW w:w="284"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失信被执行人</w:t>
            </w:r>
          </w:p>
        </w:tc>
        <w:tc>
          <w:tcPr>
            <w:tcW w:w="28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26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1283"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医疗机构或其法人被纳入公共信用系统</w:t>
            </w:r>
            <w:r>
              <w:rPr>
                <w:rFonts w:hint="eastAsia" w:ascii="仿宋_GB2312" w:hAnsi="仿宋_GB2312" w:eastAsia="仿宋_GB2312" w:cs="仿宋_GB2312"/>
                <w:color w:val="auto"/>
                <w:sz w:val="21"/>
                <w:szCs w:val="21"/>
                <w:lang w:val="en-US" w:eastAsia="zh-CN"/>
              </w:rPr>
              <w:t>严重</w:t>
            </w:r>
            <w:r>
              <w:rPr>
                <w:rFonts w:hint="eastAsia" w:ascii="仿宋_GB2312" w:hAnsi="仿宋_GB2312" w:eastAsia="仿宋_GB2312" w:cs="仿宋_GB2312"/>
                <w:color w:val="auto"/>
                <w:sz w:val="21"/>
                <w:szCs w:val="21"/>
              </w:rPr>
              <w:t>失信“黑名单”。</w:t>
            </w:r>
          </w:p>
        </w:tc>
        <w:tc>
          <w:tcPr>
            <w:tcW w:w="1308"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《青海省公共信用信息条例》。</w:t>
            </w:r>
          </w:p>
        </w:tc>
        <w:tc>
          <w:tcPr>
            <w:tcW w:w="1086" w:type="pct"/>
            <w:gridSpan w:val="2"/>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一票否决。</w:t>
            </w:r>
          </w:p>
        </w:tc>
      </w:tr>
      <w:tr>
        <w:tblPrEx>
          <w:tblCellMar>
            <w:top w:w="0" w:type="dxa"/>
            <w:left w:w="0" w:type="dxa"/>
            <w:bottom w:w="0" w:type="dxa"/>
            <w:right w:w="0" w:type="dxa"/>
          </w:tblCellMar>
        </w:tblPrEx>
        <w:trPr>
          <w:trHeight w:val="1774" w:hRule="atLeast"/>
          <w:jc w:val="center"/>
        </w:trPr>
        <w:tc>
          <w:tcPr>
            <w:tcW w:w="243" w:type="pct"/>
            <w:tcBorders>
              <w:top w:val="single" w:color="auto" w:sz="4" w:space="0"/>
              <w:left w:val="single" w:color="000000" w:sz="8" w:space="0"/>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一票</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否决</w:t>
            </w:r>
          </w:p>
        </w:tc>
        <w:tc>
          <w:tcPr>
            <w:tcW w:w="237" w:type="pct"/>
            <w:tcBorders>
              <w:top w:val="single" w:color="auto" w:sz="4" w:space="0"/>
              <w:left w:val="nil"/>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协议处理</w:t>
            </w:r>
          </w:p>
        </w:tc>
        <w:tc>
          <w:tcPr>
            <w:tcW w:w="284"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解除</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协议</w:t>
            </w:r>
          </w:p>
        </w:tc>
        <w:tc>
          <w:tcPr>
            <w:tcW w:w="28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26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1283"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协议期内</w:t>
            </w:r>
            <w:r>
              <w:rPr>
                <w:rFonts w:hint="eastAsia" w:ascii="仿宋_GB2312" w:hAnsi="仿宋_GB2312" w:eastAsia="仿宋_GB2312" w:cs="仿宋_GB2312"/>
                <w:color w:val="auto"/>
                <w:sz w:val="21"/>
                <w:szCs w:val="21"/>
                <w:lang w:eastAsia="zh-CN"/>
              </w:rPr>
              <w:t>医疗机构</w:t>
            </w:r>
            <w:r>
              <w:rPr>
                <w:rFonts w:hint="eastAsia" w:ascii="仿宋_GB2312" w:hAnsi="仿宋_GB2312" w:eastAsia="仿宋_GB2312" w:cs="仿宋_GB2312"/>
                <w:color w:val="auto"/>
                <w:sz w:val="21"/>
                <w:szCs w:val="21"/>
                <w:lang w:val="en-US" w:eastAsia="zh-CN"/>
              </w:rPr>
              <w:t>被取消定点资格</w:t>
            </w:r>
          </w:p>
        </w:tc>
        <w:tc>
          <w:tcPr>
            <w:tcW w:w="1308"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tc>
        <w:tc>
          <w:tcPr>
            <w:tcW w:w="1086" w:type="pct"/>
            <w:gridSpan w:val="2"/>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一票否决。</w:t>
            </w:r>
          </w:p>
        </w:tc>
      </w:tr>
      <w:tr>
        <w:tblPrEx>
          <w:tblCellMar>
            <w:top w:w="0" w:type="dxa"/>
            <w:left w:w="0" w:type="dxa"/>
            <w:bottom w:w="0" w:type="dxa"/>
            <w:right w:w="0" w:type="dxa"/>
          </w:tblCellMar>
        </w:tblPrEx>
        <w:trPr>
          <w:trHeight w:val="1655" w:hRule="atLeast"/>
          <w:jc w:val="center"/>
        </w:trPr>
        <w:tc>
          <w:tcPr>
            <w:tcW w:w="243" w:type="pct"/>
            <w:tcBorders>
              <w:top w:val="single" w:color="auto" w:sz="4" w:space="0"/>
              <w:left w:val="single" w:color="000000" w:sz="8" w:space="0"/>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一票</w:t>
            </w:r>
          </w:p>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否决</w:t>
            </w:r>
          </w:p>
        </w:tc>
        <w:tc>
          <w:tcPr>
            <w:tcW w:w="237" w:type="pct"/>
            <w:tcBorders>
              <w:top w:val="single" w:color="auto" w:sz="4" w:space="0"/>
              <w:left w:val="nil"/>
              <w:bottom w:val="single" w:color="auto" w:sz="4" w:space="0"/>
              <w:right w:val="single" w:color="000000" w:sz="8" w:space="0"/>
            </w:tcBorders>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违规移交</w:t>
            </w:r>
          </w:p>
        </w:tc>
        <w:tc>
          <w:tcPr>
            <w:tcW w:w="284"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违规移交情况</w:t>
            </w:r>
          </w:p>
        </w:tc>
        <w:tc>
          <w:tcPr>
            <w:tcW w:w="28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267"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_</w:t>
            </w:r>
          </w:p>
        </w:tc>
        <w:tc>
          <w:tcPr>
            <w:tcW w:w="1283"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涉嫌犯罪或违反其他法律法规的移交情况。</w:t>
            </w:r>
          </w:p>
        </w:tc>
        <w:tc>
          <w:tcPr>
            <w:tcW w:w="1308" w:type="pct"/>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《医疗保障基金使用监督管理条例》。</w:t>
            </w:r>
          </w:p>
          <w:p>
            <w:pPr>
              <w:jc w:val="both"/>
              <w:rPr>
                <w:rFonts w:hint="eastAsia" w:ascii="仿宋_GB2312" w:hAnsi="仿宋_GB2312" w:eastAsia="仿宋_GB2312" w:cs="仿宋_GB2312"/>
                <w:color w:val="auto"/>
                <w:sz w:val="21"/>
                <w:szCs w:val="21"/>
                <w:lang w:eastAsia="zh-CN"/>
              </w:rPr>
            </w:pPr>
          </w:p>
        </w:tc>
        <w:tc>
          <w:tcPr>
            <w:tcW w:w="1086" w:type="pct"/>
            <w:gridSpan w:val="2"/>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一票否决。</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BDCF8-4DD8-4F67-9F61-C9FD2393F6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97295F-E03D-4ADF-8144-0B1FA9866CB4}"/>
  </w:font>
  <w:font w:name="方正小标宋简体">
    <w:panose1 w:val="03000509000000000000"/>
    <w:charset w:val="86"/>
    <w:family w:val="script"/>
    <w:pitch w:val="default"/>
    <w:sig w:usb0="00000001" w:usb1="080E0000" w:usb2="00000000" w:usb3="00000000" w:csb0="00040000" w:csb1="00000000"/>
    <w:embedRegular r:id="rId3" w:fontKey="{2AAC0C3A-3CE6-41BE-935B-662EE26CFFB4}"/>
  </w:font>
  <w:font w:name="仿宋_GB2312">
    <w:panose1 w:val="02010609030101010101"/>
    <w:charset w:val="86"/>
    <w:family w:val="auto"/>
    <w:pitch w:val="default"/>
    <w:sig w:usb0="00000001" w:usb1="080E0000" w:usb2="00000000" w:usb3="00000000" w:csb0="00040000" w:csb1="00000000"/>
    <w:embedRegular r:id="rId4" w:fontKey="{0801562F-7E97-45BB-B6C9-329A467CC4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YzM5NGE4ZTM3NjY2MjdkZWY5MmNmYzA2MWJjM2IifQ=="/>
  </w:docVars>
  <w:rsids>
    <w:rsidRoot w:val="231D7803"/>
    <w:rsid w:val="003F3AA8"/>
    <w:rsid w:val="00F9257D"/>
    <w:rsid w:val="01836677"/>
    <w:rsid w:val="01EE5E5A"/>
    <w:rsid w:val="02C10E79"/>
    <w:rsid w:val="031B34BD"/>
    <w:rsid w:val="036E2EB8"/>
    <w:rsid w:val="03A76077"/>
    <w:rsid w:val="03E70DB3"/>
    <w:rsid w:val="03FD4132"/>
    <w:rsid w:val="04E0764C"/>
    <w:rsid w:val="05004C30"/>
    <w:rsid w:val="059942D7"/>
    <w:rsid w:val="05DD1BF7"/>
    <w:rsid w:val="06881D74"/>
    <w:rsid w:val="06B55198"/>
    <w:rsid w:val="07524795"/>
    <w:rsid w:val="07A93F86"/>
    <w:rsid w:val="083E2F6B"/>
    <w:rsid w:val="08DF1698"/>
    <w:rsid w:val="0A1C72DC"/>
    <w:rsid w:val="0BB51797"/>
    <w:rsid w:val="0BF724D8"/>
    <w:rsid w:val="0BFF2C9D"/>
    <w:rsid w:val="0D1129FD"/>
    <w:rsid w:val="0D554FDF"/>
    <w:rsid w:val="0E006FB6"/>
    <w:rsid w:val="0E39315A"/>
    <w:rsid w:val="0EC73345"/>
    <w:rsid w:val="0F8971A0"/>
    <w:rsid w:val="11590387"/>
    <w:rsid w:val="116A6B7F"/>
    <w:rsid w:val="120945EA"/>
    <w:rsid w:val="12582E7C"/>
    <w:rsid w:val="12C02EFB"/>
    <w:rsid w:val="1367395A"/>
    <w:rsid w:val="13AC2C1C"/>
    <w:rsid w:val="13BB7B66"/>
    <w:rsid w:val="14D34118"/>
    <w:rsid w:val="152B5F69"/>
    <w:rsid w:val="15DB44F0"/>
    <w:rsid w:val="174560C4"/>
    <w:rsid w:val="179E3336"/>
    <w:rsid w:val="18510D3B"/>
    <w:rsid w:val="18DC65B5"/>
    <w:rsid w:val="1B974A15"/>
    <w:rsid w:val="1B9B2757"/>
    <w:rsid w:val="1C3A1603"/>
    <w:rsid w:val="20BE7E16"/>
    <w:rsid w:val="231D7803"/>
    <w:rsid w:val="241412F8"/>
    <w:rsid w:val="2446522A"/>
    <w:rsid w:val="250F386E"/>
    <w:rsid w:val="27232090"/>
    <w:rsid w:val="2756664D"/>
    <w:rsid w:val="28F96D0F"/>
    <w:rsid w:val="292E2A5F"/>
    <w:rsid w:val="296E27BA"/>
    <w:rsid w:val="2B3B360F"/>
    <w:rsid w:val="2C953BB5"/>
    <w:rsid w:val="2CCA2406"/>
    <w:rsid w:val="2FB01C5F"/>
    <w:rsid w:val="319D5866"/>
    <w:rsid w:val="31E542D4"/>
    <w:rsid w:val="333F5C66"/>
    <w:rsid w:val="3647730B"/>
    <w:rsid w:val="36AE05F5"/>
    <w:rsid w:val="374C459E"/>
    <w:rsid w:val="389D76B7"/>
    <w:rsid w:val="38F57AFE"/>
    <w:rsid w:val="39FF6E13"/>
    <w:rsid w:val="3A1065DC"/>
    <w:rsid w:val="3BB13FB2"/>
    <w:rsid w:val="3CE60F00"/>
    <w:rsid w:val="3D7A6BFB"/>
    <w:rsid w:val="3DBB413B"/>
    <w:rsid w:val="3E134C2F"/>
    <w:rsid w:val="3E86299B"/>
    <w:rsid w:val="412E12DF"/>
    <w:rsid w:val="41D17C4C"/>
    <w:rsid w:val="42456E8A"/>
    <w:rsid w:val="42F02AD9"/>
    <w:rsid w:val="43792ACE"/>
    <w:rsid w:val="45230F44"/>
    <w:rsid w:val="470D3C59"/>
    <w:rsid w:val="477A0352"/>
    <w:rsid w:val="497A70A7"/>
    <w:rsid w:val="4AC565F9"/>
    <w:rsid w:val="4CA5673B"/>
    <w:rsid w:val="4CCF3F1F"/>
    <w:rsid w:val="4CE22604"/>
    <w:rsid w:val="4E545093"/>
    <w:rsid w:val="509273D8"/>
    <w:rsid w:val="512C2F2E"/>
    <w:rsid w:val="520B5239"/>
    <w:rsid w:val="52A60DDC"/>
    <w:rsid w:val="53786DFC"/>
    <w:rsid w:val="54D264E2"/>
    <w:rsid w:val="56E11E48"/>
    <w:rsid w:val="5741418D"/>
    <w:rsid w:val="57672F12"/>
    <w:rsid w:val="584B2834"/>
    <w:rsid w:val="59914E4A"/>
    <w:rsid w:val="59B240D3"/>
    <w:rsid w:val="59EE7217"/>
    <w:rsid w:val="5B8F0C89"/>
    <w:rsid w:val="5D1C6071"/>
    <w:rsid w:val="5D261179"/>
    <w:rsid w:val="5D485594"/>
    <w:rsid w:val="5DE3706A"/>
    <w:rsid w:val="5E416DC1"/>
    <w:rsid w:val="5E954808"/>
    <w:rsid w:val="5FFB68ED"/>
    <w:rsid w:val="6172476A"/>
    <w:rsid w:val="621E78AA"/>
    <w:rsid w:val="63640C4D"/>
    <w:rsid w:val="641E0DFC"/>
    <w:rsid w:val="6484198E"/>
    <w:rsid w:val="64994927"/>
    <w:rsid w:val="64A84B6A"/>
    <w:rsid w:val="68703E4A"/>
    <w:rsid w:val="697310BC"/>
    <w:rsid w:val="6A154A4F"/>
    <w:rsid w:val="6A4D444B"/>
    <w:rsid w:val="6AC6238E"/>
    <w:rsid w:val="6D354EC0"/>
    <w:rsid w:val="6D4948AB"/>
    <w:rsid w:val="6D6261FE"/>
    <w:rsid w:val="6E217E67"/>
    <w:rsid w:val="70347748"/>
    <w:rsid w:val="70AC766E"/>
    <w:rsid w:val="728704B4"/>
    <w:rsid w:val="734142AB"/>
    <w:rsid w:val="73A429A0"/>
    <w:rsid w:val="741713C4"/>
    <w:rsid w:val="74816CFF"/>
    <w:rsid w:val="76F61765"/>
    <w:rsid w:val="771A52E4"/>
    <w:rsid w:val="773E3C3B"/>
    <w:rsid w:val="795D1F6F"/>
    <w:rsid w:val="7F27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6990</Words>
  <Characters>7300</Characters>
  <Lines>0</Lines>
  <Paragraphs>0</Paragraphs>
  <TotalTime>2</TotalTime>
  <ScaleCrop>false</ScaleCrop>
  <LinksUpToDate>false</LinksUpToDate>
  <CharactersWithSpaces>7360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2022-10-20T12:00:00Z</dcterms:created>
  <dc:creator>李顺</dc:creator>
  <cp:lastModifiedBy>闫小墨</cp:lastModifiedBy>
  <cp:lastPrinted>2022-11-08T04:21:00Z</cp:lastPrinted>
  <dcterms:modified xsi:type="dcterms:W3CDTF">2022-11-08T04:21:42Z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C0C1769993F440159FE83CF6BD80FE98</vt:lpwstr>
  </property>
</Properties>
</file>