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color w:val="000000"/>
          <w:sz w:val="30"/>
          <w:szCs w:val="30"/>
          <w:highlight w:val="none"/>
          <w:u w:val="none"/>
        </w:rPr>
      </w:pPr>
    </w:p>
    <w:p>
      <w:pPr>
        <w:widowControl w:val="0"/>
        <w:numPr>
          <w:ilvl w:val="0"/>
          <w:numId w:val="0"/>
        </w:num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eastAsia="zh-CN"/>
        </w:rPr>
        <w:t>健康福建行动中医药健康促进专项活动</w:t>
      </w:r>
    </w:p>
    <w:p>
      <w:pPr>
        <w:widowControl w:val="0"/>
        <w:numPr>
          <w:ilvl w:val="0"/>
          <w:numId w:val="0"/>
        </w:num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评估指标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715"/>
        <w:gridCol w:w="50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-78" w:right="-61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9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  <w:jc w:val="center"/>
        </w:trPr>
        <w:tc>
          <w:tcPr>
            <w:tcW w:w="4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93" w:type="pc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提升全省居民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中医药健康文化素养水平</w:t>
            </w:r>
          </w:p>
        </w:tc>
        <w:tc>
          <w:tcPr>
            <w:tcW w:w="2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 w:line="42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到2025年，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全省居民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中医药健康文化素养水平提升到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%。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中医药信息理解能力素养水平、中医药基本理念素养水平、中医药健康生活方式素养水平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中医药文化常识素养水平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中医药公众适宜方法素养水平分别提高到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%、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%、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%、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%及以上和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</w:rPr>
              <w:t>%及以上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u w:val="none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4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开展妇幼中医药健康促进活动</w:t>
            </w:r>
          </w:p>
        </w:tc>
        <w:tc>
          <w:tcPr>
            <w:tcW w:w="2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2025年，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三级和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二级以上中医医院（含中西医结合医院、少数民族医医院）开设优生优育门诊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的比例达到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100%和90%，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三级和二级妇幼保健院开展中医药专科服务的比例达到90%和70%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儿童中医药健康管理率达到85%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开展老年人中医药健康促进活动</w:t>
            </w:r>
          </w:p>
        </w:tc>
        <w:tc>
          <w:tcPr>
            <w:tcW w:w="29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2025年，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65岁以上老年人中医药健康管理率达到75%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4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开展中医治未病干预方案推广活动</w:t>
            </w:r>
          </w:p>
        </w:tc>
        <w:tc>
          <w:tcPr>
            <w:tcW w:w="29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2025年，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实施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  <w:t>中医治未病干预方案推广计划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4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开展中医适宜技术推广活动</w:t>
            </w:r>
          </w:p>
        </w:tc>
        <w:tc>
          <w:tcPr>
            <w:tcW w:w="29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2025年，每个中医馆能规范开展6类10项以上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中医适宜技术。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</w:pPr>
    </w:p>
    <w:tbl>
      <w:tblPr>
        <w:tblStyle w:val="5"/>
        <w:tblpPr w:leftFromText="180" w:rightFromText="180" w:vertAnchor="page" w:horzAnchor="page" w:tblpX="1627" w:tblpY="13807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3676"/>
        <w:gridCol w:w="382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afterAutospacing="1" w:line="460" w:lineRule="exact"/>
              <w:ind w:firstLine="280" w:firstLineChars="100"/>
              <w:jc w:val="both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抄送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：</w:t>
            </w:r>
          </w:p>
        </w:tc>
        <w:tc>
          <w:tcPr>
            <w:tcW w:w="7497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</w:tcMar>
            <w:vAlign w:val="center"/>
          </w:tcPr>
          <w:p>
            <w:pPr>
              <w:spacing w:after="100" w:afterAutospacing="1" w:line="460" w:lineRule="exact"/>
              <w:ind w:right="136" w:rightChars="65"/>
              <w:jc w:val="both"/>
              <w:textAlignment w:val="bottom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/>
              </w:rPr>
            </w:pPr>
            <w:bookmarkStart w:id="0" w:name="copydelivery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国家中医药管理局办公室，福建中医药大学，福建省中医药学会、福建省中西医结合学会、福建省针灸学会</w:t>
            </w:r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100" w:line="460" w:lineRule="exact"/>
              <w:ind w:right="136" w:rightChars="65" w:firstLine="28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福建省卫生健康委员会办公室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after="100" w:afterAutospacing="1" w:line="460" w:lineRule="exact"/>
              <w:ind w:right="136" w:rightChars="65" w:firstLine="840" w:firstLineChars="300"/>
              <w:jc w:val="right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日印发 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TczZDdkYzgxMTc4ZjU1NDNiMzllOTViYzlmYWQifQ=="/>
  </w:docVars>
  <w:rsids>
    <w:rsidRoot w:val="00000000"/>
    <w:rsid w:val="0223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ind w:firstLine="880" w:firstLineChars="200"/>
      <w:jc w:val="both"/>
    </w:pPr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2022-11-08T03:16:15Z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96DF94AB104A4722822680579756DBE1</vt:lpwstr>
  </property>
</Properties>
</file>