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highlight w:val="none"/>
          <w:u w:val="none"/>
          <w:lang w:val="en-US" w:eastAsia="zh-CN"/>
        </w:rPr>
        <w:t>治未病干预方案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30"/>
          <w:szCs w:val="30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老年人中医体质治末病干预方案，北京市中医药大学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老年功能性便秘治末病干预方案，辽宁中医药大学附属第三医院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女性生理周期调养治末病干预方案，广东省中医院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产褥期治末病干预方案，上海中医药大学附属曙光医院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儿童青少年近视治末病干预方案，山东中医药大学附属眼科医院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儿童反复呼吸道感染治末病干预方案，首都医科大学附属北京中医医院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儿童哮喘治末病干预方案，南京中医药大学附属医院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易感冒人群（成人）治末病干预方，天津中医药大学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血脂异常易发人群治末病干预方案，首都医科大学附属北京中医医院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预防肥胖治末病干预方案，天津中医药大学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腿椎间盘突出症高危人群治末病干预方案，江苏省中医院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骨质疏松高危人群治末病干预方案，江苏省中医院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易便秘、易腹泻偏颇体质人群治末病干预方案，江苏省中医院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无症状胆囊结石治末病干预方案，山东中医药大学附属医院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非酒精性单纯性脂肪肝治末病干预方案，河南中医药大学第一附属医院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食管癌前病变治末病干预方案，河南省中医院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鼻鼽治末病干预方案，南京中医药大学附属医院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u w:val="none"/>
          <w:lang w:val="en-US" w:eastAsia="zh-CN"/>
        </w:rPr>
        <w:t>推拿预防颈椎病治末病干预方案，江苏省中医院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8"/>
          <w:szCs w:val="28"/>
          <w:highlight w:val="none"/>
          <w:u w:val="none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814" w:right="1474" w:bottom="1701" w:left="1587" w:header="851" w:footer="992" w:gutter="0"/>
      <w:pgNumType w:fmt="decimal" w:start="9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FC395"/>
    <w:multiLevelType w:val="singleLevel"/>
    <w:tmpl w:val="FF7FC3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TczZDdkYzgxMTc4ZjU1NDNiMzllOTViYzlmYWQifQ=="/>
  </w:docVars>
  <w:rsids>
    <w:rsidRoot w:val="00000000"/>
    <w:rsid w:val="6F4B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2022-11-08T03:15:08Z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8AD802A0B39B4B25BF06671B5E493C53</vt:lpwstr>
  </property>
</Properties>
</file>