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黑体" w:hAnsi="黑体" w:eastAsia="黑体" w:cs="黑体"/>
          <w:b w:val="0"/>
          <w:bCs/>
          <w:lang w:val="en-US" w:eastAsia="zh-CN"/>
        </w:rPr>
      </w:pPr>
      <w:r>
        <w:rPr>
          <w:rFonts w:hint="eastAsia" w:ascii="黑体" w:hAnsi="黑体" w:eastAsia="黑体" w:cs="黑体"/>
          <w:b w:val="0"/>
          <w:bCs/>
          <w:lang w:val="en-US" w:eastAsia="zh-CN"/>
        </w:rPr>
        <w:t>长沙市医疗保障信用管理实施细则（试行）</w:t>
      </w:r>
    </w:p>
    <w:p>
      <w:pPr>
        <w:jc w:val="center"/>
        <w:rPr>
          <w:rFonts w:hint="eastAsia"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（征求意见稿）</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60" w:lineRule="atLeast"/>
        <w:jc w:val="center"/>
        <w:textAlignment w:val="auto"/>
        <w:rPr>
          <w:rFonts w:hint="eastAsia" w:ascii="Times New Roman" w:hAnsi="Times New Roman" w:eastAsia="仿宋_GB2312" w:cstheme="minorBidi"/>
          <w:b/>
          <w:bCs/>
          <w:color w:val="auto"/>
          <w:kern w:val="2"/>
          <w:sz w:val="32"/>
          <w:szCs w:val="32"/>
          <w:shd w:val="clear" w:color="auto" w:fill="FFFFFF"/>
          <w:lang w:val="en-US" w:eastAsia="zh-CN" w:bidi="ar-SA"/>
        </w:rPr>
      </w:pPr>
      <w:r>
        <w:rPr>
          <w:rFonts w:hint="eastAsia" w:ascii="Times New Roman" w:hAnsi="Times New Roman" w:eastAsia="仿宋_GB2312" w:cstheme="minorBidi"/>
          <w:b/>
          <w:bCs/>
          <w:color w:val="auto"/>
          <w:kern w:val="2"/>
          <w:sz w:val="32"/>
          <w:szCs w:val="32"/>
          <w:shd w:val="clear" w:color="auto" w:fill="FFFFFF"/>
          <w:lang w:val="en-US" w:eastAsia="zh-CN" w:bidi="ar-SA"/>
        </w:rPr>
        <w:t>第一章  总 则</w:t>
      </w:r>
    </w:p>
    <w:p>
      <w:pPr>
        <w:pStyle w:val="5"/>
        <w:keepNext w:val="0"/>
        <w:keepLines w:val="0"/>
        <w:pageBreakBefore w:val="0"/>
        <w:widowControl w:val="0"/>
        <w:kinsoku/>
        <w:wordWrap/>
        <w:overflowPunct/>
        <w:topLinePunct w:val="0"/>
        <w:autoSpaceDE/>
        <w:autoSpaceDN/>
        <w:bidi w:val="0"/>
        <w:adjustRightInd/>
        <w:snapToGrid/>
        <w:spacing w:line="592" w:lineRule="exact"/>
        <w:ind w:firstLine="642" w:firstLineChars="200"/>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第一条</w:t>
      </w:r>
      <w:r>
        <w:rPr>
          <w:rFonts w:hint="eastAsia" w:ascii="仿宋" w:hAnsi="仿宋" w:eastAsia="仿宋" w:cs="仿宋"/>
          <w:i w:val="0"/>
          <w:iCs w:val="0"/>
          <w:caps w:val="0"/>
          <w:color w:val="auto"/>
          <w:spacing w:val="0"/>
          <w:kern w:val="0"/>
          <w:sz w:val="32"/>
          <w:szCs w:val="32"/>
          <w:shd w:val="clear" w:fill="FFFFFF"/>
          <w:lang w:val="en-US" w:eastAsia="zh-CN" w:bidi="ar"/>
        </w:rPr>
        <w:t xml:space="preserve">  </w:t>
      </w:r>
      <w:r>
        <w:rPr>
          <w:rFonts w:hint="eastAsia" w:ascii="Times New Roman" w:hAnsi="Times New Roman" w:eastAsia="仿宋_GB2312" w:cs="Times New Roman"/>
          <w:b w:val="0"/>
          <w:bCs w:val="0"/>
          <w:color w:val="auto"/>
          <w:kern w:val="0"/>
          <w:sz w:val="32"/>
          <w:szCs w:val="32"/>
          <w:lang w:val="en-US" w:eastAsia="zh-CN" w:bidi="ar-SA"/>
        </w:rPr>
        <w:t>为加强</w:t>
      </w:r>
      <w:r>
        <w:rPr>
          <w:rFonts w:hint="eastAsia" w:ascii="Times New Roman" w:hAnsi="Times New Roman" w:cs="Times New Roman"/>
          <w:b w:val="0"/>
          <w:bCs w:val="0"/>
          <w:color w:val="auto"/>
          <w:kern w:val="0"/>
          <w:sz w:val="32"/>
          <w:szCs w:val="32"/>
          <w:lang w:val="en-US" w:eastAsia="zh-CN" w:bidi="ar-SA"/>
        </w:rPr>
        <w:t>我市</w:t>
      </w:r>
      <w:r>
        <w:rPr>
          <w:rFonts w:hint="eastAsia" w:ascii="Times New Roman" w:hAnsi="Times New Roman" w:eastAsia="仿宋_GB2312" w:cs="Times New Roman"/>
          <w:b w:val="0"/>
          <w:bCs w:val="0"/>
          <w:color w:val="auto"/>
          <w:kern w:val="0"/>
          <w:sz w:val="32"/>
          <w:szCs w:val="32"/>
          <w:lang w:val="en-US" w:eastAsia="zh-CN" w:bidi="ar-SA"/>
        </w:rPr>
        <w:t>医疗保障信用管理，推进医疗保障信用体系建设，根据</w:t>
      </w:r>
      <w:r>
        <w:rPr>
          <w:rFonts w:hint="eastAsia" w:ascii="Times New Roman" w:hAnsi="Times New Roman" w:cs="Times New Roman"/>
          <w:b w:val="0"/>
          <w:bCs w:val="0"/>
          <w:color w:val="auto"/>
          <w:kern w:val="0"/>
          <w:sz w:val="32"/>
          <w:szCs w:val="32"/>
          <w:lang w:val="en-US" w:eastAsia="zh-CN" w:bidi="ar-SA"/>
        </w:rPr>
        <w:t>《</w:t>
      </w:r>
      <w:r>
        <w:rPr>
          <w:rFonts w:hint="eastAsia" w:ascii="Times New Roman" w:hAnsi="Times New Roman" w:eastAsia="仿宋_GB2312" w:cs="Times New Roman"/>
          <w:b w:val="0"/>
          <w:bCs w:val="0"/>
          <w:color w:val="auto"/>
          <w:kern w:val="0"/>
          <w:sz w:val="32"/>
          <w:szCs w:val="32"/>
          <w:lang w:val="en-US" w:eastAsia="zh-CN" w:bidi="ar-SA"/>
        </w:rPr>
        <w:t>医疗保障</w:t>
      </w:r>
      <w:r>
        <w:rPr>
          <w:rFonts w:hint="eastAsia" w:ascii="Times New Roman" w:hAnsi="Times New Roman" w:cs="Times New Roman"/>
          <w:b w:val="0"/>
          <w:bCs w:val="0"/>
          <w:color w:val="auto"/>
          <w:kern w:val="0"/>
          <w:sz w:val="32"/>
          <w:szCs w:val="32"/>
          <w:lang w:val="en-US" w:eastAsia="zh-CN" w:bidi="ar-SA"/>
        </w:rPr>
        <w:t>基金使用监督管理条例》、</w:t>
      </w:r>
      <w:r>
        <w:rPr>
          <w:rFonts w:hint="eastAsia" w:ascii="Times New Roman" w:hAnsi="Times New Roman" w:eastAsia="仿宋_GB2312" w:cs="Times New Roman"/>
          <w:b w:val="0"/>
          <w:bCs w:val="0"/>
          <w:color w:val="auto"/>
          <w:kern w:val="0"/>
          <w:sz w:val="32"/>
          <w:szCs w:val="32"/>
          <w:lang w:val="en-US" w:eastAsia="zh-CN" w:bidi="ar-SA"/>
        </w:rPr>
        <w:t>《湖南省医疗保障信用管理暂行办法》(湘医保发〔2021〕65号)（以下简称《暂行办法》）</w:t>
      </w:r>
      <w:bookmarkStart w:id="0" w:name="_GoBack"/>
      <w:bookmarkEnd w:id="0"/>
      <w:r>
        <w:rPr>
          <w:rFonts w:hint="eastAsia" w:ascii="Times New Roman" w:hAnsi="Times New Roman" w:cs="Times New Roman"/>
          <w:b w:val="0"/>
          <w:bCs w:val="0"/>
          <w:color w:val="auto"/>
          <w:kern w:val="0"/>
          <w:sz w:val="32"/>
          <w:szCs w:val="32"/>
          <w:lang w:val="en-US" w:eastAsia="zh-CN" w:bidi="ar-SA"/>
        </w:rPr>
        <w:t>等有关文件</w:t>
      </w:r>
      <w:r>
        <w:rPr>
          <w:rFonts w:hint="eastAsia" w:ascii="Times New Roman" w:hAnsi="Times New Roman" w:eastAsia="仿宋_GB2312" w:cs="Times New Roman"/>
          <w:b w:val="0"/>
          <w:bCs w:val="0"/>
          <w:color w:val="auto"/>
          <w:kern w:val="0"/>
          <w:sz w:val="32"/>
          <w:szCs w:val="32"/>
          <w:lang w:val="en-US" w:eastAsia="zh-CN" w:bidi="ar-SA"/>
        </w:rPr>
        <w:t>，结合我市医疗</w:t>
      </w:r>
      <w:r>
        <w:rPr>
          <w:rFonts w:hint="eastAsia" w:ascii="Times New Roman" w:hAnsi="Times New Roman" w:cs="Times New Roman"/>
          <w:b w:val="0"/>
          <w:bCs w:val="0"/>
          <w:color w:val="auto"/>
          <w:kern w:val="0"/>
          <w:sz w:val="32"/>
          <w:szCs w:val="32"/>
          <w:lang w:val="en-US" w:eastAsia="zh-CN"/>
        </w:rPr>
        <w:t>保障</w:t>
      </w:r>
      <w:r>
        <w:rPr>
          <w:rFonts w:hint="eastAsia" w:ascii="Times New Roman" w:hAnsi="Times New Roman" w:eastAsia="仿宋_GB2312" w:cs="Times New Roman"/>
          <w:b w:val="0"/>
          <w:bCs w:val="0"/>
          <w:color w:val="auto"/>
          <w:kern w:val="0"/>
          <w:sz w:val="32"/>
          <w:szCs w:val="32"/>
          <w:lang w:val="en-US" w:eastAsia="zh-CN" w:bidi="ar-SA"/>
        </w:rPr>
        <w:t>工作实际，制定本实施细则。</w:t>
      </w:r>
    </w:p>
    <w:p>
      <w:pPr>
        <w:keepNext w:val="0"/>
        <w:keepLines w:val="0"/>
        <w:pageBreakBefore w:val="0"/>
        <w:widowControl w:val="0"/>
        <w:kinsoku/>
        <w:wordWrap/>
        <w:overflowPunct/>
        <w:topLinePunct w:val="0"/>
        <w:autoSpaceDE/>
        <w:autoSpaceDN/>
        <w:bidi w:val="0"/>
        <w:adjustRightInd/>
        <w:snapToGrid/>
        <w:spacing w:line="592" w:lineRule="exact"/>
        <w:ind w:firstLine="642" w:firstLineChars="200"/>
        <w:jc w:val="left"/>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仿宋" w:hAnsi="仿宋" w:eastAsia="仿宋" w:cs="仿宋"/>
          <w:b/>
          <w:bCs/>
          <w:i w:val="0"/>
          <w:iCs w:val="0"/>
          <w:caps w:val="0"/>
          <w:color w:val="auto"/>
          <w:spacing w:val="0"/>
          <w:kern w:val="0"/>
          <w:sz w:val="32"/>
          <w:szCs w:val="32"/>
          <w:shd w:val="clear" w:fill="FFFFFF"/>
          <w:lang w:val="en-US" w:eastAsia="zh-CN" w:bidi="ar"/>
        </w:rPr>
        <w:t xml:space="preserve">第二条  </w:t>
      </w:r>
      <w:r>
        <w:rPr>
          <w:rFonts w:hint="eastAsia" w:ascii="Times New Roman" w:hAnsi="Times New Roman" w:eastAsia="仿宋_GB2312" w:cs="Times New Roman"/>
          <w:b w:val="0"/>
          <w:bCs w:val="0"/>
          <w:color w:val="auto"/>
          <w:kern w:val="0"/>
          <w:sz w:val="32"/>
          <w:szCs w:val="32"/>
          <w:lang w:val="en-US" w:eastAsia="zh-CN" w:bidi="ar-SA"/>
        </w:rPr>
        <w:t>本市行政区域内医疗保障信用主体（以下简称“信用主体”）的医疗保障信用信息采集、信用承诺、评价、发布、结果应用、修复等管理活动，适用本细则。</w:t>
      </w:r>
    </w:p>
    <w:p>
      <w:pPr>
        <w:keepNext w:val="0"/>
        <w:keepLines w:val="0"/>
        <w:pageBreakBefore w:val="0"/>
        <w:widowControl w:val="0"/>
        <w:kinsoku/>
        <w:wordWrap/>
        <w:overflowPunct/>
        <w:topLinePunct w:val="0"/>
        <w:autoSpaceDE/>
        <w:autoSpaceDN/>
        <w:bidi w:val="0"/>
        <w:adjustRightInd/>
        <w:snapToGrid/>
        <w:spacing w:line="592" w:lineRule="exact"/>
        <w:ind w:firstLine="642" w:firstLineChars="200"/>
        <w:jc w:val="left"/>
        <w:textAlignment w:val="auto"/>
        <w:rPr>
          <w:rFonts w:hint="eastAsia" w:ascii="Times New Roman" w:hAnsi="Times New Roman" w:eastAsia="仿宋_GB2312" w:cs="Times New Roman"/>
          <w:b w:val="0"/>
          <w:bCs w:val="0"/>
          <w:color w:val="auto"/>
          <w:kern w:val="0"/>
          <w:sz w:val="32"/>
          <w:szCs w:val="32"/>
          <w:lang w:val="en-US" w:eastAsia="zh-CN" w:bidi="ar-SA"/>
        </w:rPr>
      </w:pPr>
      <w:r>
        <w:rPr>
          <w:rFonts w:hint="eastAsia" w:ascii="仿宋_GB2312" w:eastAsia="仿宋_GB2312"/>
          <w:b/>
          <w:bCs/>
          <w:color w:val="auto"/>
          <w:kern w:val="0"/>
          <w:sz w:val="32"/>
          <w:szCs w:val="32"/>
          <w:lang w:val="en-US" w:eastAsia="zh-CN"/>
        </w:rPr>
        <w:t>第三条</w:t>
      </w:r>
      <w:r>
        <w:rPr>
          <w:rFonts w:hint="eastAsia" w:ascii="仿宋_GB2312" w:eastAsia="仿宋_GB2312"/>
          <w:color w:val="auto"/>
          <w:kern w:val="0"/>
          <w:sz w:val="32"/>
          <w:szCs w:val="32"/>
          <w:lang w:val="en-US" w:eastAsia="zh-CN"/>
        </w:rPr>
        <w:t xml:space="preserve">  </w:t>
      </w:r>
      <w:r>
        <w:rPr>
          <w:rFonts w:hint="eastAsia" w:ascii="Times New Roman" w:hAnsi="Times New Roman" w:eastAsia="仿宋_GB2312" w:cs="Times New Roman"/>
          <w:b w:val="0"/>
          <w:bCs w:val="0"/>
          <w:color w:val="auto"/>
          <w:kern w:val="0"/>
          <w:sz w:val="32"/>
          <w:szCs w:val="32"/>
          <w:lang w:val="en-US" w:eastAsia="zh-CN" w:bidi="ar-SA"/>
        </w:rPr>
        <w:t>医疗保障信用管理应当遵循合法公正、公开透明、分级分类、动态调整、共建共享的原则，维护信用主体的合法权益，不得损害国家和社会公共利益，不涉及国家秘密、商业秘密和个人隐私。</w:t>
      </w:r>
    </w:p>
    <w:p>
      <w:pPr>
        <w:keepNext w:val="0"/>
        <w:keepLines w:val="0"/>
        <w:pageBreakBefore w:val="0"/>
        <w:widowControl w:val="0"/>
        <w:kinsoku/>
        <w:wordWrap/>
        <w:overflowPunct/>
        <w:topLinePunct w:val="0"/>
        <w:autoSpaceDE/>
        <w:autoSpaceDN/>
        <w:bidi w:val="0"/>
        <w:adjustRightInd/>
        <w:snapToGrid/>
        <w:spacing w:line="592" w:lineRule="exact"/>
        <w:ind w:firstLine="642" w:firstLineChars="200"/>
        <w:jc w:val="left"/>
        <w:textAlignment w:val="auto"/>
        <w:rPr>
          <w:rFonts w:hint="eastAsia" w:ascii="仿宋_GB2312" w:eastAsia="仿宋_GB2312"/>
          <w:kern w:val="0"/>
          <w:sz w:val="32"/>
          <w:szCs w:val="32"/>
          <w:lang w:val="en-US" w:eastAsia="zh-CN"/>
        </w:rPr>
      </w:pPr>
      <w:r>
        <w:rPr>
          <w:rFonts w:hint="eastAsia" w:ascii="仿宋_GB2312" w:eastAsia="仿宋_GB2312"/>
          <w:b/>
          <w:bCs/>
          <w:kern w:val="0"/>
          <w:sz w:val="32"/>
          <w:szCs w:val="32"/>
          <w:lang w:val="en-US" w:eastAsia="zh-CN"/>
        </w:rPr>
        <w:t>第四条</w:t>
      </w:r>
      <w:r>
        <w:rPr>
          <w:rFonts w:hint="eastAsia" w:ascii="仿宋_GB2312" w:eastAsia="仿宋_GB2312"/>
          <w:kern w:val="0"/>
          <w:sz w:val="32"/>
          <w:szCs w:val="32"/>
          <w:lang w:val="en-US" w:eastAsia="zh-CN"/>
        </w:rPr>
        <w:t xml:space="preserve"> 本细则所称信用主体主要分为机构和个人两类。</w:t>
      </w:r>
    </w:p>
    <w:p>
      <w:pPr>
        <w:pStyle w:val="5"/>
        <w:spacing w:line="592" w:lineRule="exact"/>
        <w:ind w:firstLine="642" w:firstLineChars="200"/>
        <w:rPr>
          <w:rFonts w:ascii="Times New Roman" w:hAnsi="Times New Roman" w:cs="Times New Roman"/>
          <w:b/>
          <w:bCs/>
          <w:color w:val="000000" w:themeColor="text1"/>
          <w:kern w:val="0"/>
          <w:sz w:val="32"/>
          <w:szCs w:val="32"/>
          <w14:textFill>
            <w14:solidFill>
              <w14:schemeClr w14:val="tx1"/>
            </w14:solidFill>
          </w14:textFill>
        </w:rPr>
      </w:pPr>
      <w:r>
        <w:rPr>
          <w:rFonts w:ascii="Times New Roman" w:hAnsi="Times New Roman" w:cs="Times New Roman"/>
          <w:b/>
          <w:bCs/>
          <w:color w:val="000000" w:themeColor="text1"/>
          <w:kern w:val="0"/>
          <w:sz w:val="32"/>
          <w:szCs w:val="32"/>
          <w14:textFill>
            <w14:solidFill>
              <w14:schemeClr w14:val="tx1"/>
            </w14:solidFill>
          </w14:textFill>
        </w:rPr>
        <w:t>（一）机构类信用主体</w:t>
      </w:r>
    </w:p>
    <w:p>
      <w:pPr>
        <w:pStyle w:val="7"/>
        <w:shd w:val="clear" w:color="auto" w:fill="FFFFFF"/>
        <w:spacing w:beforeAutospacing="0" w:afterAutospacing="0" w:line="592" w:lineRule="exact"/>
        <w:ind w:firstLine="579" w:firstLineChars="181"/>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lang w:val="en"/>
          <w14:textFill>
            <w14:solidFill>
              <w14:schemeClr w14:val="tx1"/>
            </w14:solidFill>
          </w14:textFill>
        </w:rPr>
        <w:t>1</w:t>
      </w:r>
      <w:r>
        <w:rPr>
          <w:rFonts w:hint="eastAsia" w:ascii="Times New Roman" w:hAnsi="Times New Roman" w:eastAsia="仿宋_GB2312"/>
          <w:color w:val="000000" w:themeColor="text1"/>
          <w:sz w:val="32"/>
          <w:szCs w:val="32"/>
          <w:lang w:val="en"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基本医疗保险定点医疗机构；</w:t>
      </w:r>
    </w:p>
    <w:p>
      <w:pPr>
        <w:pStyle w:val="7"/>
        <w:shd w:val="clear" w:color="auto" w:fill="FFFFFF"/>
        <w:spacing w:beforeAutospacing="0" w:afterAutospacing="0" w:line="592" w:lineRule="exact"/>
        <w:ind w:firstLine="579" w:firstLineChars="181"/>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lang w:val="e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基本医疗保险定点零售药店；</w:t>
      </w:r>
    </w:p>
    <w:p>
      <w:pPr>
        <w:pStyle w:val="7"/>
        <w:shd w:val="clear" w:color="auto" w:fill="FFFFFF"/>
        <w:spacing w:beforeAutospacing="0" w:afterAutospacing="0" w:line="592" w:lineRule="exact"/>
        <w:ind w:firstLine="579" w:firstLineChars="18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default" w:ascii="仿宋" w:hAnsi="仿宋" w:eastAsia="仿宋" w:cs="仿宋"/>
          <w:color w:val="000000" w:themeColor="text1"/>
          <w:sz w:val="32"/>
          <w:szCs w:val="32"/>
          <w:lang w:val="e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其他参与医疗保障活动的机构。</w:t>
      </w:r>
    </w:p>
    <w:p>
      <w:pPr>
        <w:pStyle w:val="5"/>
        <w:spacing w:line="592" w:lineRule="exact"/>
        <w:ind w:firstLine="642" w:firstLineChars="200"/>
        <w:rPr>
          <w:rFonts w:ascii="Times New Roman" w:hAnsi="Times New Roman" w:cs="Times New Roman"/>
          <w:b/>
          <w:bCs/>
          <w:color w:val="auto"/>
          <w:kern w:val="0"/>
          <w:sz w:val="32"/>
          <w:szCs w:val="32"/>
        </w:rPr>
      </w:pPr>
      <w:r>
        <w:rPr>
          <w:rFonts w:ascii="Times New Roman" w:hAnsi="Times New Roman" w:cs="Times New Roman"/>
          <w:b/>
          <w:bCs/>
          <w:color w:val="000000" w:themeColor="text1"/>
          <w:kern w:val="0"/>
          <w:sz w:val="32"/>
          <w:szCs w:val="32"/>
          <w14:textFill>
            <w14:solidFill>
              <w14:schemeClr w14:val="tx1"/>
            </w14:solidFill>
          </w14:textFill>
        </w:rPr>
        <w:t>（二）个人类</w:t>
      </w:r>
      <w:r>
        <w:rPr>
          <w:rFonts w:ascii="Times New Roman" w:hAnsi="Times New Roman" w:cs="Times New Roman"/>
          <w:b/>
          <w:bCs/>
          <w:color w:val="auto"/>
          <w:kern w:val="0"/>
          <w:sz w:val="32"/>
          <w:szCs w:val="32"/>
        </w:rPr>
        <w:t>信用主体</w:t>
      </w:r>
    </w:p>
    <w:p>
      <w:pPr>
        <w:pStyle w:val="7"/>
        <w:shd w:val="clear" w:color="auto" w:fill="FFFFFF"/>
        <w:spacing w:beforeAutospacing="0" w:afterAutospacing="0" w:line="592"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1</w:t>
      </w:r>
      <w:r>
        <w:rPr>
          <w:rFonts w:ascii="Times New Roman" w:hAnsi="Times New Roman" w:eastAsia="仿宋_GB2312"/>
          <w:color w:val="auto"/>
          <w:sz w:val="32"/>
          <w:szCs w:val="32"/>
          <w:lang w:val="en"/>
        </w:rPr>
        <w:t>、</w:t>
      </w:r>
      <w:r>
        <w:rPr>
          <w:rFonts w:hint="eastAsia" w:ascii="Times New Roman" w:hAnsi="Times New Roman" w:eastAsia="仿宋_GB2312"/>
          <w:color w:val="auto"/>
          <w:sz w:val="32"/>
          <w:szCs w:val="32"/>
          <w:lang w:val="en" w:eastAsia="zh-CN"/>
        </w:rPr>
        <w:t>定点医药机构医务人员、定点零售药店工作人员</w:t>
      </w:r>
      <w:r>
        <w:rPr>
          <w:rFonts w:ascii="Times New Roman" w:hAnsi="Times New Roman" w:eastAsia="仿宋_GB2312"/>
          <w:color w:val="auto"/>
          <w:sz w:val="32"/>
          <w:szCs w:val="32"/>
        </w:rPr>
        <w:t>等专业从业人员；</w:t>
      </w:r>
    </w:p>
    <w:p>
      <w:pPr>
        <w:pStyle w:val="7"/>
        <w:shd w:val="clear" w:color="auto" w:fill="FFFFFF"/>
        <w:spacing w:beforeAutospacing="0" w:afterAutospacing="0" w:line="592"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2</w:t>
      </w:r>
      <w:r>
        <w:rPr>
          <w:rFonts w:ascii="Times New Roman" w:hAnsi="Times New Roman" w:eastAsia="仿宋_GB2312"/>
          <w:color w:val="auto"/>
          <w:sz w:val="32"/>
          <w:szCs w:val="32"/>
          <w:lang w:val="en"/>
        </w:rPr>
        <w:t>、</w:t>
      </w:r>
      <w:r>
        <w:rPr>
          <w:rFonts w:ascii="Times New Roman" w:hAnsi="Times New Roman" w:eastAsia="仿宋_GB2312"/>
          <w:color w:val="auto"/>
          <w:sz w:val="32"/>
          <w:szCs w:val="32"/>
        </w:rPr>
        <w:t>参保人员；</w:t>
      </w:r>
    </w:p>
    <w:p>
      <w:pPr>
        <w:pStyle w:val="5"/>
        <w:spacing w:line="592" w:lineRule="exact"/>
        <w:ind w:firstLine="640" w:firstLineChars="200"/>
        <w:rPr>
          <w:rFonts w:ascii="Times New Roman" w:hAnsi="Times New Roman" w:cs="Times New Roman"/>
          <w:color w:val="auto"/>
          <w:kern w:val="0"/>
          <w:sz w:val="32"/>
          <w:szCs w:val="32"/>
        </w:rPr>
      </w:pPr>
      <w:r>
        <w:rPr>
          <w:rFonts w:ascii="Times New Roman" w:hAnsi="Times New Roman" w:cs="Times New Roman"/>
          <w:color w:val="auto"/>
          <w:kern w:val="0"/>
          <w:sz w:val="32"/>
          <w:szCs w:val="32"/>
        </w:rPr>
        <w:t>3</w:t>
      </w:r>
      <w:r>
        <w:rPr>
          <w:rFonts w:ascii="Times New Roman" w:hAnsi="Times New Roman" w:cs="Times New Roman"/>
          <w:color w:val="auto"/>
          <w:kern w:val="0"/>
          <w:sz w:val="32"/>
          <w:szCs w:val="32"/>
          <w:lang w:val="en"/>
        </w:rPr>
        <w:t>、</w:t>
      </w:r>
      <w:r>
        <w:rPr>
          <w:rFonts w:ascii="Times New Roman" w:hAnsi="Times New Roman" w:cs="Times New Roman"/>
          <w:color w:val="auto"/>
          <w:kern w:val="0"/>
          <w:sz w:val="32"/>
          <w:szCs w:val="32"/>
        </w:rPr>
        <w:t>其他</w:t>
      </w:r>
      <w:r>
        <w:rPr>
          <w:rFonts w:hint="eastAsia" w:ascii="Times New Roman" w:hAnsi="Times New Roman" w:cs="Times New Roman"/>
          <w:color w:val="auto"/>
          <w:kern w:val="0"/>
          <w:sz w:val="32"/>
          <w:szCs w:val="32"/>
          <w:lang w:eastAsia="zh-CN"/>
        </w:rPr>
        <w:t>应当</w:t>
      </w:r>
      <w:r>
        <w:rPr>
          <w:rFonts w:ascii="Times New Roman" w:hAnsi="Times New Roman" w:cs="Times New Roman"/>
          <w:color w:val="auto"/>
          <w:kern w:val="0"/>
          <w:sz w:val="32"/>
          <w:szCs w:val="32"/>
        </w:rPr>
        <w:t>纳入信用管理的参与医疗保障活动的个人。</w:t>
      </w:r>
    </w:p>
    <w:p>
      <w:pPr>
        <w:pStyle w:val="5"/>
        <w:spacing w:line="592" w:lineRule="exact"/>
        <w:ind w:firstLine="642"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 xml:space="preserve">第五条  </w:t>
      </w:r>
      <w:r>
        <w:rPr>
          <w:rFonts w:hint="eastAsia" w:ascii="Times New Roman" w:hAnsi="Times New Roman" w:cs="Times New Roman"/>
          <w:b w:val="0"/>
          <w:bCs w:val="0"/>
          <w:color w:val="auto"/>
          <w:kern w:val="0"/>
          <w:sz w:val="32"/>
          <w:szCs w:val="32"/>
          <w:lang w:val="en-US" w:eastAsia="zh-CN"/>
        </w:rPr>
        <w:t>信用主体应当自觉遵守国家有关法律、法规、规章、规范性文件等规定和服务协议约定，加强诚信自律，规范医疗保障相关行为。</w:t>
      </w:r>
    </w:p>
    <w:p>
      <w:pPr>
        <w:pStyle w:val="5"/>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信用主体应当按照本办法及有关规定，向医疗保障部门及其委托的机构提供相应的数据和资料，配合开展信用管理工作。</w:t>
      </w:r>
    </w:p>
    <w:p>
      <w:pPr>
        <w:pStyle w:val="5"/>
        <w:keepNext w:val="0"/>
        <w:keepLines w:val="0"/>
        <w:pageBreakBefore w:val="0"/>
        <w:widowControl w:val="0"/>
        <w:kinsoku/>
        <w:wordWrap/>
        <w:overflowPunct/>
        <w:topLinePunct w:val="0"/>
        <w:autoSpaceDE/>
        <w:autoSpaceDN/>
        <w:bidi w:val="0"/>
        <w:adjustRightInd/>
        <w:snapToGrid/>
        <w:spacing w:line="592" w:lineRule="exact"/>
        <w:ind w:firstLine="642" w:firstLineChars="200"/>
        <w:textAlignment w:val="auto"/>
        <w:rPr>
          <w:rFonts w:hint="eastAsia" w:ascii="Times New Roman" w:hAnsi="Times New Roman" w:cs="Times New Roman"/>
          <w:b w:val="0"/>
          <w:bCs w:val="0"/>
          <w:color w:val="auto"/>
          <w:kern w:val="0"/>
          <w:sz w:val="32"/>
          <w:szCs w:val="32"/>
          <w:lang w:val="en-US" w:eastAsia="zh-CN"/>
        </w:rPr>
      </w:pPr>
      <w:r>
        <w:rPr>
          <w:rFonts w:hint="eastAsia" w:ascii="Times New Roman" w:hAnsi="Times New Roman" w:eastAsia="仿宋_GB2312" w:cs="Times New Roman"/>
          <w:b/>
          <w:bCs/>
          <w:color w:val="auto"/>
          <w:kern w:val="0"/>
          <w:sz w:val="32"/>
          <w:szCs w:val="32"/>
          <w:lang w:val="en-US" w:eastAsia="zh-CN" w:bidi="ar-SA"/>
        </w:rPr>
        <w:t>第</w:t>
      </w:r>
      <w:r>
        <w:rPr>
          <w:rFonts w:hint="eastAsia" w:ascii="Times New Roman" w:hAnsi="Times New Roman" w:cs="Times New Roman"/>
          <w:b/>
          <w:bCs/>
          <w:color w:val="auto"/>
          <w:kern w:val="0"/>
          <w:sz w:val="32"/>
          <w:szCs w:val="32"/>
          <w:lang w:val="en-US" w:eastAsia="zh-CN" w:bidi="ar-SA"/>
        </w:rPr>
        <w:t>六</w:t>
      </w:r>
      <w:r>
        <w:rPr>
          <w:rFonts w:hint="eastAsia" w:ascii="Times New Roman" w:hAnsi="Times New Roman" w:eastAsia="仿宋_GB2312" w:cs="Times New Roman"/>
          <w:b/>
          <w:bCs/>
          <w:color w:val="auto"/>
          <w:kern w:val="0"/>
          <w:sz w:val="32"/>
          <w:szCs w:val="32"/>
          <w:lang w:val="en-US" w:eastAsia="zh-CN" w:bidi="ar-SA"/>
        </w:rPr>
        <w:t>条</w:t>
      </w:r>
      <w:r>
        <w:rPr>
          <w:rFonts w:hint="eastAsia" w:ascii="Times New Roman" w:hAnsi="Times New Roman" w:cs="Times New Roman"/>
          <w:b w:val="0"/>
          <w:bCs w:val="0"/>
          <w:color w:val="auto"/>
          <w:kern w:val="0"/>
          <w:sz w:val="32"/>
          <w:szCs w:val="32"/>
          <w:lang w:val="en-US" w:eastAsia="zh-CN"/>
        </w:rPr>
        <w:t xml:space="preserve">  </w:t>
      </w:r>
      <w:r>
        <w:rPr>
          <w:rFonts w:hint="eastAsia" w:ascii="Times New Roman" w:hAnsi="Times New Roman" w:eastAsia="仿宋_GB2312" w:cs="Times New Roman"/>
          <w:b w:val="0"/>
          <w:bCs w:val="0"/>
          <w:color w:val="auto"/>
          <w:kern w:val="0"/>
          <w:sz w:val="32"/>
          <w:szCs w:val="32"/>
          <w:lang w:val="en-US" w:eastAsia="zh-CN" w:bidi="ar-SA"/>
        </w:rPr>
        <w:t>市医疗保障</w:t>
      </w:r>
      <w:r>
        <w:rPr>
          <w:rFonts w:hint="eastAsia" w:ascii="Times New Roman" w:hAnsi="Times New Roman" w:cs="Times New Roman"/>
          <w:b w:val="0"/>
          <w:bCs w:val="0"/>
          <w:color w:val="auto"/>
          <w:kern w:val="0"/>
          <w:sz w:val="32"/>
          <w:szCs w:val="32"/>
          <w:lang w:val="en-US" w:eastAsia="zh-CN" w:bidi="ar-SA"/>
        </w:rPr>
        <w:t>局</w:t>
      </w:r>
      <w:r>
        <w:rPr>
          <w:rFonts w:hint="eastAsia" w:ascii="Times New Roman" w:hAnsi="Times New Roman" w:eastAsia="仿宋_GB2312" w:cs="Times New Roman"/>
          <w:b w:val="0"/>
          <w:bCs w:val="0"/>
          <w:color w:val="auto"/>
          <w:kern w:val="0"/>
          <w:sz w:val="32"/>
          <w:szCs w:val="32"/>
          <w:lang w:val="en-US" w:eastAsia="zh-CN" w:bidi="ar-SA"/>
        </w:rPr>
        <w:t>统筹全市医疗保障信用管理工作，制定相应实施细则，明确信用指标体系、信用评价方式、建立奖惩机制等，负责指导、协调推进全市医疗保障信用管理工作</w:t>
      </w:r>
      <w:r>
        <w:rPr>
          <w:rFonts w:hint="eastAsia" w:ascii="Times New Roman" w:hAnsi="Times New Roman" w:cs="Times New Roman"/>
          <w:b w:val="0"/>
          <w:bCs w:val="0"/>
          <w:color w:val="auto"/>
          <w:kern w:val="0"/>
          <w:sz w:val="32"/>
          <w:szCs w:val="32"/>
          <w:lang w:val="en-US" w:eastAsia="zh-CN" w:bidi="ar-SA"/>
        </w:rPr>
        <w:t>；各区</w:t>
      </w:r>
      <w:r>
        <w:rPr>
          <w:rFonts w:hint="eastAsia" w:ascii="Times New Roman" w:hAnsi="Times New Roman" w:cs="Times New Roman"/>
          <w:b w:val="0"/>
          <w:bCs w:val="0"/>
          <w:color w:val="auto"/>
          <w:kern w:val="0"/>
          <w:sz w:val="32"/>
          <w:szCs w:val="32"/>
          <w:lang w:val="en-US" w:eastAsia="zh-CN"/>
        </w:rPr>
        <w:t>县（市）</w:t>
      </w:r>
      <w:r>
        <w:rPr>
          <w:rFonts w:hint="eastAsia" w:ascii="Times New Roman" w:hAnsi="Times New Roman" w:eastAsia="仿宋_GB2312" w:cs="Times New Roman"/>
          <w:b w:val="0"/>
          <w:bCs w:val="0"/>
          <w:color w:val="auto"/>
          <w:kern w:val="0"/>
          <w:sz w:val="32"/>
          <w:szCs w:val="32"/>
          <w:lang w:val="en-US" w:eastAsia="zh-CN" w:bidi="ar-SA"/>
        </w:rPr>
        <w:t>医疗保障</w:t>
      </w:r>
      <w:r>
        <w:rPr>
          <w:rFonts w:hint="eastAsia" w:ascii="Times New Roman" w:hAnsi="Times New Roman" w:cs="Times New Roman"/>
          <w:b w:val="0"/>
          <w:bCs w:val="0"/>
          <w:color w:val="auto"/>
          <w:kern w:val="0"/>
          <w:sz w:val="32"/>
          <w:szCs w:val="32"/>
          <w:lang w:val="en-US" w:eastAsia="zh-CN"/>
        </w:rPr>
        <w:t>局分别负责本行政区域内的医疗保障信用管理工作，负责医疗保障信用管理相关信息的采集、录入、审核，依法依规开展信用评价，并做好评价结果的运用等具体工作。</w:t>
      </w:r>
    </w:p>
    <w:p>
      <w:pPr>
        <w:pStyle w:val="5"/>
        <w:spacing w:line="592" w:lineRule="exact"/>
        <w:ind w:firstLine="642" w:firstLineChars="200"/>
        <w:jc w:val="center"/>
        <w:rPr>
          <w:rFonts w:hint="default" w:ascii="Times New Roman" w:hAnsi="Times New Roman" w:eastAsia="仿宋_GB2312"/>
          <w:b/>
          <w:bCs/>
          <w:color w:val="auto"/>
          <w:sz w:val="32"/>
          <w:szCs w:val="32"/>
          <w:shd w:val="clear" w:color="auto" w:fill="FFFFFF"/>
          <w:lang w:val="en-US" w:eastAsia="zh-CN"/>
        </w:rPr>
      </w:pPr>
      <w:r>
        <w:rPr>
          <w:rFonts w:hint="eastAsia" w:ascii="Times New Roman" w:hAnsi="Times New Roman"/>
          <w:b/>
          <w:bCs/>
          <w:color w:val="auto"/>
          <w:sz w:val="32"/>
          <w:szCs w:val="32"/>
          <w:shd w:val="clear" w:color="auto" w:fill="FFFFFF"/>
          <w:lang w:val="en-US" w:eastAsia="zh-CN"/>
        </w:rPr>
        <w:t>第二章 信用信息采集</w:t>
      </w:r>
    </w:p>
    <w:p>
      <w:pPr>
        <w:pStyle w:val="5"/>
        <w:spacing w:line="592" w:lineRule="exact"/>
        <w:ind w:firstLine="642" w:firstLineChars="200"/>
        <w:rPr>
          <w:rStyle w:val="11"/>
          <w:rFonts w:hint="eastAsia" w:ascii="Times New Roman" w:hAnsi="Times New Roman" w:cs="Times New Roman"/>
          <w:color w:val="auto"/>
          <w:kern w:val="0"/>
          <w:szCs w:val="24"/>
          <w:lang w:val="en-US" w:eastAsia="zh-CN" w:bidi="ar-SA"/>
        </w:rPr>
      </w:pPr>
      <w:r>
        <w:rPr>
          <w:rFonts w:hint="eastAsia" w:ascii="Times New Roman" w:hAnsi="Times New Roman" w:cs="Times New Roman"/>
          <w:b/>
          <w:bCs/>
          <w:color w:val="auto"/>
          <w:kern w:val="0"/>
          <w:sz w:val="32"/>
          <w:szCs w:val="32"/>
          <w:lang w:val="en-US" w:eastAsia="zh-CN"/>
        </w:rPr>
        <w:t xml:space="preserve">第七条  </w:t>
      </w:r>
      <w:r>
        <w:rPr>
          <w:rFonts w:hint="eastAsia" w:ascii="Times New Roman" w:hAnsi="Times New Roman" w:cs="Times New Roman"/>
          <w:b w:val="0"/>
          <w:bCs w:val="0"/>
          <w:color w:val="auto"/>
          <w:kern w:val="0"/>
          <w:sz w:val="32"/>
          <w:szCs w:val="32"/>
          <w:lang w:val="en-US" w:eastAsia="zh-CN"/>
        </w:rPr>
        <w:t>各级医疗保障部门建立各类信用主体医疗保障信用档案，机构类信用档案以统一社会信用代码作为标识，个人类信用档案以身份证号码、出入境证件号码等作为标识。医疗保障信用档案由信用主体的基础信息、守信信息和失信信息、</w:t>
      </w:r>
      <w:r>
        <w:rPr>
          <w:rStyle w:val="11"/>
          <w:rFonts w:hint="eastAsia" w:ascii="Times New Roman" w:hAnsi="Times New Roman" w:cs="Times New Roman"/>
          <w:color w:val="auto"/>
          <w:kern w:val="0"/>
          <w:szCs w:val="24"/>
          <w:lang w:val="en-US" w:eastAsia="zh-CN" w:bidi="ar-SA"/>
        </w:rPr>
        <w:t>信用异议和修复信息等构成。</w:t>
      </w:r>
    </w:p>
    <w:p>
      <w:pPr>
        <w:pStyle w:val="5"/>
        <w:spacing w:line="592" w:lineRule="exact"/>
        <w:ind w:firstLine="642"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第八条</w:t>
      </w:r>
      <w:r>
        <w:rPr>
          <w:rFonts w:hint="eastAsia" w:ascii="Times New Roman" w:hAnsi="Times New Roman" w:cs="Times New Roman"/>
          <w:b w:val="0"/>
          <w:bCs w:val="0"/>
          <w:color w:val="auto"/>
          <w:kern w:val="0"/>
          <w:sz w:val="32"/>
          <w:szCs w:val="32"/>
          <w:lang w:val="en-US" w:eastAsia="zh-CN"/>
        </w:rPr>
        <w:t xml:space="preserve">  信用主体的基础信息包括以下内容：</w:t>
      </w:r>
    </w:p>
    <w:p>
      <w:pPr>
        <w:pStyle w:val="5"/>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机构类信用主体基础信息包括单位性质、名称、法定代表人和统一社会信用代码等；个体类信用主体基础信息包括姓名和居民身份证号码、出入境证件号码、执业注册信息等。</w:t>
      </w:r>
    </w:p>
    <w:p>
      <w:pPr>
        <w:pStyle w:val="5"/>
        <w:spacing w:line="592" w:lineRule="exact"/>
        <w:ind w:firstLine="642" w:firstLineChars="200"/>
        <w:rPr>
          <w:rFonts w:hint="default"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第九条</w:t>
      </w:r>
      <w:r>
        <w:rPr>
          <w:rFonts w:hint="eastAsia" w:ascii="Times New Roman" w:hAnsi="Times New Roman" w:cs="Times New Roman"/>
          <w:b w:val="0"/>
          <w:bCs w:val="0"/>
          <w:color w:val="auto"/>
          <w:kern w:val="0"/>
          <w:sz w:val="32"/>
          <w:szCs w:val="32"/>
          <w:lang w:val="en-US" w:eastAsia="zh-CN"/>
        </w:rPr>
        <w:t xml:space="preserve">  信用主体的守信信息包括以下内容：</w:t>
      </w:r>
    </w:p>
    <w:p>
      <w:pPr>
        <w:pStyle w:val="5"/>
        <w:numPr>
          <w:ilvl w:val="0"/>
          <w:numId w:val="0"/>
        </w:numPr>
        <w:spacing w:line="592" w:lineRule="exact"/>
        <w:ind w:firstLine="320" w:firstLineChars="100"/>
        <w:rPr>
          <w:rFonts w:hint="default"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w:t>
      </w:r>
      <w:r>
        <w:rPr>
          <w:rFonts w:hint="default" w:ascii="Times New Roman" w:hAnsi="Times New Roman" w:cs="Times New Roman"/>
          <w:b w:val="0"/>
          <w:bCs w:val="0"/>
          <w:color w:val="auto"/>
          <w:kern w:val="0"/>
          <w:sz w:val="32"/>
          <w:szCs w:val="32"/>
          <w:lang w:val="en-US" w:eastAsia="zh-CN"/>
        </w:rPr>
        <w:t>一</w:t>
      </w:r>
      <w:r>
        <w:rPr>
          <w:rFonts w:hint="eastAsia" w:ascii="Times New Roman" w:hAnsi="Times New Roman" w:cs="Times New Roman"/>
          <w:b w:val="0"/>
          <w:bCs w:val="0"/>
          <w:color w:val="auto"/>
          <w:kern w:val="0"/>
          <w:sz w:val="32"/>
          <w:szCs w:val="32"/>
          <w:lang w:val="en-US" w:eastAsia="zh-CN"/>
        </w:rPr>
        <w:t>）</w:t>
      </w:r>
      <w:r>
        <w:rPr>
          <w:rFonts w:hint="default" w:ascii="Times New Roman" w:hAnsi="Times New Roman" w:cs="Times New Roman"/>
          <w:b w:val="0"/>
          <w:bCs w:val="0"/>
          <w:color w:val="auto"/>
          <w:kern w:val="0"/>
          <w:sz w:val="32"/>
          <w:szCs w:val="32"/>
          <w:lang w:val="en-US" w:eastAsia="zh-CN"/>
        </w:rPr>
        <w:t>县级以上人民政府及其部门、法律法规授权具有管理公共事务职能的组织按规定程序认定的与诚信相关的表彰、奖励等信息；</w:t>
      </w:r>
    </w:p>
    <w:p>
      <w:pPr>
        <w:pStyle w:val="5"/>
        <w:numPr>
          <w:ilvl w:val="0"/>
          <w:numId w:val="0"/>
        </w:numPr>
        <w:spacing w:line="592" w:lineRule="exact"/>
        <w:ind w:firstLine="320" w:firstLineChars="100"/>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w:t>
      </w:r>
      <w:r>
        <w:rPr>
          <w:rFonts w:hint="eastAsia" w:ascii="Times New Roman" w:hAnsi="Times New Roman" w:cs="Times New Roman"/>
          <w:b w:val="0"/>
          <w:bCs w:val="0"/>
          <w:color w:val="auto"/>
          <w:kern w:val="0"/>
          <w:sz w:val="32"/>
          <w:szCs w:val="32"/>
          <w:lang w:val="en-US" w:eastAsia="zh-CN"/>
        </w:rPr>
        <w:t>二</w:t>
      </w:r>
      <w:r>
        <w:rPr>
          <w:rFonts w:hint="default" w:ascii="Times New Roman" w:hAnsi="Times New Roman" w:cs="Times New Roman"/>
          <w:b w:val="0"/>
          <w:bCs w:val="0"/>
          <w:color w:val="auto"/>
          <w:kern w:val="0"/>
          <w:sz w:val="32"/>
          <w:szCs w:val="32"/>
          <w:lang w:val="en-US" w:eastAsia="zh-CN"/>
        </w:rPr>
        <w:t>）</w:t>
      </w:r>
      <w:r>
        <w:rPr>
          <w:rFonts w:hint="eastAsia" w:ascii="Times New Roman" w:hAnsi="Times New Roman" w:cs="Times New Roman"/>
          <w:b w:val="0"/>
          <w:bCs w:val="0"/>
          <w:color w:val="auto"/>
          <w:kern w:val="0"/>
          <w:sz w:val="32"/>
          <w:szCs w:val="32"/>
          <w:lang w:val="en-US" w:eastAsia="zh-CN"/>
        </w:rPr>
        <w:t>信用</w:t>
      </w:r>
      <w:r>
        <w:rPr>
          <w:rFonts w:hint="default" w:ascii="Times New Roman" w:hAnsi="Times New Roman" w:cs="Times New Roman"/>
          <w:b w:val="0"/>
          <w:bCs w:val="0"/>
          <w:color w:val="auto"/>
          <w:kern w:val="0"/>
          <w:sz w:val="32"/>
          <w:szCs w:val="32"/>
          <w:lang w:val="en-US" w:eastAsia="zh-CN"/>
        </w:rPr>
        <w:t>主动守信承诺信息；</w:t>
      </w:r>
    </w:p>
    <w:p>
      <w:pPr>
        <w:pStyle w:val="5"/>
        <w:numPr>
          <w:ilvl w:val="0"/>
          <w:numId w:val="0"/>
        </w:numPr>
        <w:spacing w:line="592" w:lineRule="exact"/>
        <w:ind w:firstLine="320" w:firstLineChars="100"/>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w:t>
      </w:r>
      <w:r>
        <w:rPr>
          <w:rFonts w:hint="eastAsia" w:ascii="Times New Roman" w:hAnsi="Times New Roman" w:cs="Times New Roman"/>
          <w:b w:val="0"/>
          <w:bCs w:val="0"/>
          <w:color w:val="auto"/>
          <w:kern w:val="0"/>
          <w:sz w:val="32"/>
          <w:szCs w:val="32"/>
          <w:lang w:val="en-US" w:eastAsia="zh-CN"/>
        </w:rPr>
        <w:t>三</w:t>
      </w:r>
      <w:r>
        <w:rPr>
          <w:rFonts w:hint="default" w:ascii="Times New Roman" w:hAnsi="Times New Roman" w:cs="Times New Roman"/>
          <w:b w:val="0"/>
          <w:bCs w:val="0"/>
          <w:color w:val="auto"/>
          <w:kern w:val="0"/>
          <w:sz w:val="32"/>
          <w:szCs w:val="32"/>
          <w:lang w:val="en-US" w:eastAsia="zh-CN"/>
        </w:rPr>
        <w:t>）</w:t>
      </w:r>
      <w:r>
        <w:rPr>
          <w:rFonts w:hint="default" w:ascii="Times New Roman" w:hAnsi="Times New Roman" w:eastAsia="仿宋_GB2312" w:cs="Times New Roman"/>
          <w:color w:val="auto"/>
          <w:sz w:val="32"/>
          <w:szCs w:val="32"/>
        </w:rPr>
        <w:t>信用主体在医保日常活动中的履约信息；</w:t>
      </w:r>
    </w:p>
    <w:p>
      <w:pPr>
        <w:pStyle w:val="5"/>
        <w:numPr>
          <w:ilvl w:val="0"/>
          <w:numId w:val="0"/>
        </w:numPr>
        <w:spacing w:line="592" w:lineRule="exact"/>
        <w:ind w:firstLine="320" w:firstLineChars="100"/>
        <w:rPr>
          <w:rFonts w:hint="default" w:ascii="Times New Roman" w:hAnsi="Times New Roman" w:cs="Times New Roman"/>
          <w:b w:val="0"/>
          <w:bCs w:val="0"/>
          <w:color w:val="auto"/>
          <w:kern w:val="0"/>
          <w:sz w:val="32"/>
          <w:szCs w:val="32"/>
          <w:lang w:val="en-US" w:eastAsia="zh-CN"/>
        </w:rPr>
      </w:pPr>
      <w:r>
        <w:rPr>
          <w:rFonts w:hint="default" w:ascii="Times New Roman" w:hAnsi="Times New Roman" w:cs="Times New Roman"/>
          <w:b w:val="0"/>
          <w:bCs w:val="0"/>
          <w:color w:val="auto"/>
          <w:kern w:val="0"/>
          <w:sz w:val="32"/>
          <w:szCs w:val="32"/>
          <w:lang w:val="en-US" w:eastAsia="zh-CN"/>
        </w:rPr>
        <w:t>（</w:t>
      </w:r>
      <w:r>
        <w:rPr>
          <w:rFonts w:hint="eastAsia" w:ascii="Times New Roman" w:hAnsi="Times New Roman" w:cs="Times New Roman"/>
          <w:b w:val="0"/>
          <w:bCs w:val="0"/>
          <w:color w:val="auto"/>
          <w:kern w:val="0"/>
          <w:sz w:val="32"/>
          <w:szCs w:val="32"/>
          <w:lang w:val="en-US" w:eastAsia="zh-CN"/>
        </w:rPr>
        <w:t>四</w:t>
      </w:r>
      <w:r>
        <w:rPr>
          <w:rFonts w:hint="default" w:ascii="Times New Roman" w:hAnsi="Times New Roman" w:cs="Times New Roman"/>
          <w:b w:val="0"/>
          <w:bCs w:val="0"/>
          <w:color w:val="auto"/>
          <w:kern w:val="0"/>
          <w:sz w:val="32"/>
          <w:szCs w:val="32"/>
          <w:lang w:val="en-US" w:eastAsia="zh-CN"/>
        </w:rPr>
        <w:t>）法律、法规、规章等规定应当记入信用档案的其他守信信息。</w:t>
      </w:r>
    </w:p>
    <w:p>
      <w:pPr>
        <w:pStyle w:val="5"/>
        <w:keepNext w:val="0"/>
        <w:keepLines w:val="0"/>
        <w:pageBreakBefore w:val="0"/>
        <w:widowControl w:val="0"/>
        <w:kinsoku/>
        <w:wordWrap/>
        <w:overflowPunct/>
        <w:topLinePunct w:val="0"/>
        <w:autoSpaceDE/>
        <w:autoSpaceDN/>
        <w:bidi w:val="0"/>
        <w:adjustRightInd/>
        <w:snapToGrid/>
        <w:spacing w:line="592" w:lineRule="exact"/>
        <w:ind w:firstLine="642" w:firstLineChars="200"/>
        <w:textAlignment w:val="auto"/>
        <w:rPr>
          <w:rStyle w:val="11"/>
          <w:rFonts w:hint="eastAsia" w:ascii="Times New Roman" w:hAnsi="Times New Roman" w:cs="Times New Roman"/>
          <w:color w:val="auto"/>
          <w:kern w:val="0"/>
          <w:szCs w:val="24"/>
          <w:lang w:val="en-US" w:eastAsia="zh-CN" w:bidi="ar-SA"/>
        </w:rPr>
      </w:pPr>
      <w:r>
        <w:rPr>
          <w:rFonts w:hint="eastAsia" w:ascii="Times New Roman" w:hAnsi="Times New Roman" w:cs="Times New Roman"/>
          <w:b/>
          <w:bCs/>
          <w:color w:val="auto"/>
          <w:kern w:val="0"/>
          <w:sz w:val="32"/>
          <w:szCs w:val="32"/>
          <w:lang w:val="en-US" w:eastAsia="zh-CN"/>
        </w:rPr>
        <w:t xml:space="preserve">第十条 </w:t>
      </w:r>
      <w:r>
        <w:rPr>
          <w:rStyle w:val="11"/>
          <w:rFonts w:hint="eastAsia" w:ascii="Times New Roman" w:hAnsi="Times New Roman" w:cs="Times New Roman"/>
          <w:color w:val="auto"/>
          <w:kern w:val="0"/>
          <w:szCs w:val="24"/>
          <w:lang w:val="en-US" w:eastAsia="zh-CN" w:bidi="ar-SA"/>
        </w:rPr>
        <w:t>信用主体的失信信息</w:t>
      </w:r>
      <w:r>
        <w:rPr>
          <w:rStyle w:val="11"/>
          <w:rFonts w:hint="default" w:ascii="Times New Roman" w:hAnsi="Times New Roman" w:cs="Times New Roman"/>
          <w:color w:val="auto"/>
          <w:kern w:val="0"/>
          <w:szCs w:val="24"/>
          <w:lang w:val="en" w:eastAsia="zh-CN" w:bidi="ar-SA"/>
        </w:rPr>
        <w:t>,</w:t>
      </w:r>
      <w:r>
        <w:rPr>
          <w:rStyle w:val="11"/>
          <w:rFonts w:hint="eastAsia" w:ascii="Times New Roman" w:hAnsi="Times New Roman" w:cs="Times New Roman"/>
          <w:color w:val="auto"/>
          <w:kern w:val="0"/>
          <w:szCs w:val="24"/>
          <w:lang w:val="en" w:eastAsia="zh-CN" w:bidi="ar-SA"/>
        </w:rPr>
        <w:t>主要包括违反医疗保障</w:t>
      </w:r>
      <w:r>
        <w:rPr>
          <w:rStyle w:val="11"/>
          <w:rFonts w:hint="eastAsia" w:ascii="Times New Roman" w:hAnsi="Times New Roman" w:cs="Times New Roman"/>
          <w:color w:val="auto"/>
          <w:kern w:val="0"/>
          <w:szCs w:val="24"/>
          <w:lang w:val="en-US" w:eastAsia="zh-CN" w:bidi="ar-SA"/>
        </w:rPr>
        <w:t>领域法律、法规、规章或服务协议有关内容，并受到相应处理处罚的信息。</w:t>
      </w:r>
    </w:p>
    <w:p>
      <w:pPr>
        <w:pStyle w:val="7"/>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92" w:lineRule="exact"/>
        <w:ind w:firstLine="64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w:t>
      </w:r>
      <w:r>
        <w:rPr>
          <w:rFonts w:hint="eastAsia" w:ascii="Times New Roman" w:hAnsi="Times New Roman" w:eastAsia="仿宋_GB2312" w:cs="Times New Roman"/>
          <w:b/>
          <w:bCs/>
          <w:color w:val="auto"/>
          <w:sz w:val="32"/>
          <w:szCs w:val="32"/>
          <w:lang w:eastAsia="zh-CN"/>
        </w:rPr>
        <w:t>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shd w:val="clear" w:color="auto" w:fill="FFFFFF"/>
        </w:rPr>
        <w:t>医疗保障信用信息通过以下途径采集：</w:t>
      </w:r>
    </w:p>
    <w:p>
      <w:pPr>
        <w:pStyle w:val="7"/>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（一）信用主体按照医保信用体系建设的要求提供；</w:t>
      </w:r>
    </w:p>
    <w:p>
      <w:pPr>
        <w:pStyle w:val="7"/>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（二）医疗保障部门通过智能审核、智能监控、日常监管、专项行动等方式认定的违法违规信息和行政处罚信息；</w:t>
      </w:r>
    </w:p>
    <w:p>
      <w:pPr>
        <w:pStyle w:val="7"/>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（三）医疗保障部门从公共信用信息平台、国家企业信用信息公示系统等平台数据共享；</w:t>
      </w:r>
    </w:p>
    <w:p>
      <w:pPr>
        <w:pStyle w:val="7"/>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92"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shd w:val="clear" w:color="auto" w:fill="FFFFFF"/>
        </w:rPr>
        <w:t>（四）其他符合规定的采集途径。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2"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sz w:val="32"/>
          <w:szCs w:val="32"/>
          <w:shd w:val="clear" w:color="auto" w:fill="FFFFFF"/>
        </w:rPr>
        <w:t>第十</w:t>
      </w:r>
      <w:r>
        <w:rPr>
          <w:rFonts w:hint="eastAsia" w:ascii="Times New Roman" w:hAnsi="Times New Roman" w:cs="Times New Roman"/>
          <w:b/>
          <w:bCs/>
          <w:color w:val="auto"/>
          <w:sz w:val="32"/>
          <w:szCs w:val="32"/>
          <w:shd w:val="clear" w:color="auto" w:fill="FFFFFF"/>
          <w:lang w:eastAsia="zh-CN"/>
        </w:rPr>
        <w:t>二</w:t>
      </w:r>
      <w:r>
        <w:rPr>
          <w:rFonts w:hint="default" w:ascii="Times New Roman" w:hAnsi="Times New Roman" w:eastAsia="仿宋_GB2312" w:cs="Times New Roman"/>
          <w:b/>
          <w:bCs/>
          <w:color w:val="auto"/>
          <w:sz w:val="32"/>
          <w:szCs w:val="32"/>
          <w:shd w:val="clear" w:color="auto" w:fill="FFFFFF"/>
        </w:rPr>
        <w:t>条</w:t>
      </w:r>
      <w:r>
        <w:rPr>
          <w:rFonts w:hint="default" w:ascii="Times New Roman" w:hAnsi="Times New Roman" w:eastAsia="仿宋_GB2312" w:cs="Times New Roman"/>
          <w:color w:val="auto"/>
          <w:sz w:val="32"/>
          <w:szCs w:val="32"/>
          <w:shd w:val="clear" w:color="auto" w:fill="FFFFFF"/>
        </w:rPr>
        <w:t xml:space="preserve">  信用主体应当积极配合向医疗保障部门提供相关的信用信息，信用主体对其提供信息的真实性、完整性负责，不得隐匿、虚构、篡改。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2" w:firstLineChars="200"/>
        <w:textAlignment w:val="auto"/>
        <w:rPr>
          <w:rFonts w:hint="eastAsia" w:ascii="Times New Roman" w:hAnsi="Times New Roman"/>
          <w:b w:val="0"/>
          <w:bCs w:val="0"/>
          <w:color w:val="auto"/>
          <w:sz w:val="32"/>
          <w:szCs w:val="32"/>
          <w:lang w:val="en-US" w:eastAsia="zh-CN"/>
        </w:rPr>
      </w:pPr>
      <w:r>
        <w:rPr>
          <w:rFonts w:hint="default" w:ascii="Times New Roman" w:hAnsi="Times New Roman" w:eastAsia="仿宋_GB2312" w:cs="Times New Roman"/>
          <w:b/>
          <w:bCs/>
          <w:color w:val="auto"/>
          <w:sz w:val="32"/>
          <w:szCs w:val="32"/>
          <w:shd w:val="clear" w:color="auto" w:fill="FFFFFF"/>
        </w:rPr>
        <w:t>第十</w:t>
      </w:r>
      <w:r>
        <w:rPr>
          <w:rFonts w:hint="eastAsia" w:ascii="Times New Roman" w:hAnsi="Times New Roman" w:cs="Times New Roman"/>
          <w:b/>
          <w:bCs/>
          <w:color w:val="auto"/>
          <w:sz w:val="32"/>
          <w:szCs w:val="32"/>
          <w:shd w:val="clear" w:color="auto" w:fill="FFFFFF"/>
          <w:lang w:eastAsia="zh-CN"/>
        </w:rPr>
        <w:t>三</w:t>
      </w:r>
      <w:r>
        <w:rPr>
          <w:rFonts w:hint="default" w:ascii="Times New Roman" w:hAnsi="Times New Roman" w:eastAsia="仿宋_GB2312" w:cs="Times New Roman"/>
          <w:b/>
          <w:bCs/>
          <w:color w:val="auto"/>
          <w:sz w:val="32"/>
          <w:szCs w:val="32"/>
          <w:shd w:val="clear" w:color="auto" w:fill="FFFFFF"/>
        </w:rPr>
        <w:t>条</w:t>
      </w:r>
      <w:r>
        <w:rPr>
          <w:rFonts w:hint="default" w:ascii="Times New Roman" w:hAnsi="Times New Roman" w:eastAsia="仿宋_GB2312" w:cs="Times New Roman"/>
          <w:color w:val="auto"/>
          <w:sz w:val="32"/>
          <w:szCs w:val="32"/>
          <w:shd w:val="clear" w:color="auto" w:fill="FFFFFF"/>
        </w:rPr>
        <w:t xml:space="preserve">  </w:t>
      </w:r>
      <w:r>
        <w:rPr>
          <w:rStyle w:val="11"/>
          <w:rFonts w:hint="eastAsia" w:ascii="Times New Roman" w:hAnsi="Times New Roman" w:cs="Times New Roman"/>
          <w:color w:val="auto"/>
          <w:kern w:val="0"/>
          <w:szCs w:val="24"/>
          <w:lang w:val="en-US" w:eastAsia="zh-CN" w:bidi="ar-SA"/>
        </w:rPr>
        <w:t>各级医疗保障部门应当按照国家和省、市规定推进信用承诺制度建设；各类医疗保障</w:t>
      </w:r>
      <w:r>
        <w:rPr>
          <w:rFonts w:hint="eastAsia" w:ascii="Times New Roman" w:hAnsi="Times New Roman" w:eastAsia="仿宋_GB2312" w:cstheme="minorBidi"/>
          <w:b w:val="0"/>
          <w:bCs w:val="0"/>
          <w:color w:val="auto"/>
          <w:kern w:val="2"/>
          <w:sz w:val="32"/>
          <w:szCs w:val="32"/>
          <w:lang w:val="en-US" w:eastAsia="zh-CN" w:bidi="ar-SA"/>
        </w:rPr>
        <w:t>信用主体</w:t>
      </w:r>
      <w:r>
        <w:rPr>
          <w:rFonts w:hint="eastAsia" w:ascii="Times New Roman" w:hAnsi="Times New Roman" w:cstheme="minorBidi"/>
          <w:b w:val="0"/>
          <w:bCs w:val="0"/>
          <w:color w:val="auto"/>
          <w:kern w:val="2"/>
          <w:sz w:val="32"/>
          <w:szCs w:val="32"/>
          <w:lang w:val="en-US" w:eastAsia="zh-CN" w:bidi="ar-SA"/>
        </w:rPr>
        <w:t>应当重视加强自身诚信建设，</w:t>
      </w:r>
      <w:r>
        <w:rPr>
          <w:rStyle w:val="11"/>
          <w:rFonts w:hint="eastAsia" w:ascii="Times New Roman" w:hAnsi="Times New Roman" w:cs="Times New Roman"/>
          <w:color w:val="auto"/>
          <w:kern w:val="0"/>
          <w:szCs w:val="24"/>
          <w:lang w:val="en-US" w:eastAsia="zh-CN" w:bidi="ar-SA"/>
        </w:rPr>
        <w:t>提高守法履约意识和公信力</w:t>
      </w:r>
      <w:r>
        <w:rPr>
          <w:rFonts w:hint="eastAsia" w:ascii="Times New Roman" w:hAnsi="Times New Roman" w:eastAsia="仿宋_GB2312" w:cstheme="minorBidi"/>
          <w:b w:val="0"/>
          <w:bCs w:val="0"/>
          <w:color w:val="auto"/>
          <w:kern w:val="2"/>
          <w:sz w:val="32"/>
          <w:szCs w:val="32"/>
          <w:lang w:val="en-US" w:eastAsia="zh-CN" w:bidi="ar-SA"/>
        </w:rPr>
        <w:t>。</w:t>
      </w:r>
    </w:p>
    <w:p>
      <w:pPr>
        <w:pStyle w:val="5"/>
        <w:spacing w:line="592" w:lineRule="exact"/>
        <w:ind w:firstLine="642" w:firstLineChars="200"/>
        <w:jc w:val="center"/>
        <w:rPr>
          <w:rFonts w:hint="default" w:ascii="Times New Roman" w:hAnsi="Times New Roman"/>
          <w:b/>
          <w:bCs/>
          <w:color w:val="auto"/>
          <w:sz w:val="32"/>
          <w:szCs w:val="32"/>
          <w:shd w:val="clear" w:color="auto" w:fill="FFFFFF"/>
          <w:lang w:val="en-US" w:eastAsia="zh-CN"/>
        </w:rPr>
      </w:pPr>
      <w:r>
        <w:rPr>
          <w:rFonts w:hint="eastAsia" w:ascii="Times New Roman" w:hAnsi="Times New Roman"/>
          <w:b/>
          <w:bCs/>
          <w:color w:val="auto"/>
          <w:sz w:val="32"/>
          <w:szCs w:val="32"/>
          <w:shd w:val="clear" w:color="auto" w:fill="FFFFFF"/>
          <w:lang w:val="en-US" w:eastAsia="zh-CN"/>
        </w:rPr>
        <w:t>第三章  信用评价与公开</w:t>
      </w:r>
    </w:p>
    <w:p>
      <w:pPr>
        <w:pStyle w:val="5"/>
        <w:keepNext w:val="0"/>
        <w:keepLines w:val="0"/>
        <w:pageBreakBefore w:val="0"/>
        <w:widowControl w:val="0"/>
        <w:kinsoku/>
        <w:wordWrap/>
        <w:overflowPunct/>
        <w:topLinePunct w:val="0"/>
        <w:autoSpaceDE/>
        <w:autoSpaceDN/>
        <w:bidi w:val="0"/>
        <w:adjustRightInd/>
        <w:snapToGrid/>
        <w:spacing w:line="592" w:lineRule="exact"/>
        <w:ind w:firstLine="642" w:firstLineChars="200"/>
        <w:textAlignment w:val="auto"/>
        <w:rPr>
          <w:rFonts w:hint="eastAsia" w:ascii="Times New Roman" w:hAnsi="Times New Roman"/>
          <w:b w:val="0"/>
          <w:bCs w:val="0"/>
          <w:color w:val="auto"/>
          <w:sz w:val="32"/>
          <w:szCs w:val="32"/>
          <w:lang w:val="en-US" w:eastAsia="zh-CN"/>
        </w:rPr>
      </w:pPr>
      <w:r>
        <w:rPr>
          <w:rFonts w:hint="eastAsia" w:ascii="Times New Roman" w:hAnsi="Times New Roman"/>
          <w:b/>
          <w:bCs/>
          <w:color w:val="auto"/>
          <w:sz w:val="32"/>
          <w:szCs w:val="32"/>
          <w:lang w:val="en-US" w:eastAsia="zh-CN"/>
        </w:rPr>
        <w:t xml:space="preserve">第十四条  </w:t>
      </w:r>
      <w:r>
        <w:rPr>
          <w:rFonts w:hint="eastAsia" w:ascii="Times New Roman" w:hAnsi="Times New Roman"/>
          <w:b w:val="0"/>
          <w:bCs w:val="0"/>
          <w:color w:val="auto"/>
          <w:sz w:val="32"/>
          <w:szCs w:val="32"/>
          <w:lang w:val="en-US" w:eastAsia="zh-CN"/>
        </w:rPr>
        <w:t>市医疗保障局负责组织全市医疗保障部门对信用主体进行信用评价。</w:t>
      </w:r>
      <w:r>
        <w:rPr>
          <w:rStyle w:val="11"/>
          <w:rFonts w:hint="eastAsia" w:ascii="Times New Roman" w:hAnsi="Times New Roman" w:cs="Times New Roman"/>
          <w:color w:val="auto"/>
          <w:kern w:val="0"/>
          <w:szCs w:val="24"/>
          <w:lang w:val="en-US" w:eastAsia="zh-CN" w:bidi="ar-SA"/>
        </w:rPr>
        <w:t>信用评价主要针对</w:t>
      </w:r>
      <w:r>
        <w:rPr>
          <w:rFonts w:hint="eastAsia" w:ascii="Times New Roman" w:hAnsi="Times New Roman"/>
          <w:b w:val="0"/>
          <w:bCs w:val="0"/>
          <w:color w:val="auto"/>
          <w:sz w:val="32"/>
          <w:szCs w:val="32"/>
          <w:lang w:val="en-US" w:eastAsia="zh-CN"/>
        </w:rPr>
        <w:t>不同信用主体</w:t>
      </w:r>
      <w:r>
        <w:rPr>
          <w:rStyle w:val="11"/>
          <w:rFonts w:hint="eastAsia" w:ascii="Times New Roman" w:hAnsi="Times New Roman" w:cs="Times New Roman"/>
          <w:color w:val="auto"/>
          <w:kern w:val="0"/>
          <w:szCs w:val="24"/>
          <w:lang w:val="en-US" w:eastAsia="zh-CN" w:bidi="ar-SA"/>
        </w:rPr>
        <w:t>特点和医保基金监管重点，通过信用评价指标体系，按照各类信用主体信用信息归集情况进行（附件1、2、3）。</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2" w:firstLineChars="200"/>
        <w:textAlignment w:val="auto"/>
        <w:rPr>
          <w:rStyle w:val="11"/>
          <w:rFonts w:hint="eastAsia" w:ascii="Times New Roman" w:hAnsi="Times New Roman" w:cs="Times New Roman"/>
          <w:color w:val="auto"/>
          <w:kern w:val="0"/>
          <w:szCs w:val="24"/>
          <w:lang w:val="en-US" w:eastAsia="zh-CN" w:bidi="ar-SA"/>
        </w:rPr>
      </w:pPr>
      <w:r>
        <w:rPr>
          <w:rFonts w:hint="eastAsia" w:ascii="Times New Roman" w:hAnsi="Times New Roman"/>
          <w:b/>
          <w:bCs/>
          <w:color w:val="auto"/>
          <w:sz w:val="32"/>
          <w:szCs w:val="32"/>
          <w:lang w:val="en-US" w:eastAsia="zh-CN"/>
        </w:rPr>
        <w:t xml:space="preserve">第十五条  </w:t>
      </w:r>
      <w:r>
        <w:rPr>
          <w:rFonts w:hint="eastAsia" w:ascii="Times New Roman" w:hAnsi="Times New Roman"/>
          <w:b w:val="0"/>
          <w:bCs w:val="0"/>
          <w:color w:val="auto"/>
          <w:sz w:val="32"/>
          <w:szCs w:val="32"/>
          <w:lang w:val="en-US" w:eastAsia="zh-CN"/>
        </w:rPr>
        <w:t>每个自然年度评价一次，评价结果自公布之日起至下一次评价结果公布之日内有效。</w:t>
      </w:r>
    </w:p>
    <w:p>
      <w:pPr>
        <w:pStyle w:val="5"/>
        <w:numPr>
          <w:ilvl w:val="0"/>
          <w:numId w:val="0"/>
        </w:numPr>
        <w:spacing w:line="592" w:lineRule="exact"/>
        <w:ind w:firstLine="642" w:firstLineChars="200"/>
        <w:rPr>
          <w:rFonts w:hint="eastAsia" w:ascii="Times New Roman" w:hAnsi="Times New Roman"/>
          <w:b w:val="0"/>
          <w:bCs w:val="0"/>
          <w:color w:val="auto"/>
          <w:sz w:val="32"/>
          <w:szCs w:val="32"/>
          <w:lang w:val="en-US" w:eastAsia="zh-CN"/>
        </w:rPr>
      </w:pPr>
      <w:r>
        <w:rPr>
          <w:rFonts w:hint="eastAsia" w:ascii="Times New Roman" w:hAnsi="Times New Roman"/>
          <w:b/>
          <w:bCs/>
          <w:color w:val="auto"/>
          <w:sz w:val="32"/>
          <w:szCs w:val="32"/>
          <w:highlight w:val="none"/>
          <w:lang w:val="en-US" w:eastAsia="zh-CN"/>
        </w:rPr>
        <w:t>第十六条</w:t>
      </w:r>
      <w:r>
        <w:rPr>
          <w:rFonts w:hint="eastAsia" w:ascii="Times New Roman" w:hAnsi="Times New Roman"/>
          <w:b w:val="0"/>
          <w:bCs w:val="0"/>
          <w:color w:val="auto"/>
          <w:sz w:val="32"/>
          <w:szCs w:val="32"/>
          <w:highlight w:val="none"/>
          <w:lang w:val="en-US" w:eastAsia="zh-CN"/>
        </w:rPr>
        <w:t xml:space="preserve">  信用评价采取综合评分制，信用总分为100分。</w:t>
      </w:r>
      <w:r>
        <w:rPr>
          <w:rFonts w:hint="eastAsia" w:ascii="Times New Roman" w:hAnsi="Times New Roman"/>
          <w:b w:val="0"/>
          <w:bCs w:val="0"/>
          <w:color w:val="auto"/>
          <w:sz w:val="32"/>
          <w:szCs w:val="32"/>
          <w:lang w:val="en-US" w:eastAsia="zh-CN"/>
        </w:rPr>
        <w:t>根据信用评价结果划分四个等级：100分</w:t>
      </w:r>
      <w:r>
        <w:rPr>
          <w:rFonts w:hint="default" w:ascii="Arial" w:hAnsi="Arial" w:cs="Arial"/>
          <w:b w:val="0"/>
          <w:bCs w:val="0"/>
          <w:color w:val="auto"/>
          <w:sz w:val="32"/>
          <w:szCs w:val="32"/>
          <w:lang w:val="en-US" w:eastAsia="zh-CN"/>
        </w:rPr>
        <w:t>≥</w:t>
      </w:r>
      <w:r>
        <w:rPr>
          <w:rFonts w:hint="eastAsia" w:ascii="Times New Roman" w:hAnsi="Times New Roman"/>
          <w:b w:val="0"/>
          <w:bCs w:val="0"/>
          <w:color w:val="auto"/>
          <w:sz w:val="32"/>
          <w:szCs w:val="32"/>
          <w:lang w:val="en-US" w:eastAsia="zh-CN"/>
        </w:rPr>
        <w:t>评分</w:t>
      </w:r>
      <w:r>
        <w:rPr>
          <w:rFonts w:hint="eastAsia" w:ascii="仿宋_GB2312" w:hAnsi="仿宋_GB2312" w:eastAsia="仿宋_GB2312" w:cs="仿宋_GB2312"/>
          <w:b w:val="0"/>
          <w:bCs w:val="0"/>
          <w:color w:val="auto"/>
          <w:sz w:val="32"/>
          <w:szCs w:val="32"/>
          <w:lang w:val="en-US" w:eastAsia="zh-CN"/>
        </w:rPr>
        <w:t>&gt;</w:t>
      </w:r>
      <w:r>
        <w:rPr>
          <w:rFonts w:hint="eastAsia" w:ascii="Times New Roman" w:hAnsi="Times New Roman"/>
          <w:b w:val="0"/>
          <w:bCs w:val="0"/>
          <w:color w:val="auto"/>
          <w:sz w:val="32"/>
          <w:szCs w:val="32"/>
          <w:lang w:val="en-US" w:eastAsia="zh-CN"/>
        </w:rPr>
        <w:t>90分为信用优秀（A级）；90分</w:t>
      </w:r>
      <w:r>
        <w:rPr>
          <w:rFonts w:hint="default" w:ascii="Arial" w:hAnsi="Arial" w:cs="Arial"/>
          <w:b w:val="0"/>
          <w:bCs w:val="0"/>
          <w:color w:val="auto"/>
          <w:sz w:val="32"/>
          <w:szCs w:val="32"/>
          <w:lang w:val="en-US" w:eastAsia="zh-CN"/>
        </w:rPr>
        <w:t>≥</w:t>
      </w:r>
      <w:r>
        <w:rPr>
          <w:rFonts w:hint="eastAsia" w:ascii="Times New Roman" w:hAnsi="Times New Roman"/>
          <w:b w:val="0"/>
          <w:bCs w:val="0"/>
          <w:color w:val="auto"/>
          <w:sz w:val="32"/>
          <w:szCs w:val="32"/>
          <w:lang w:val="en-US" w:eastAsia="zh-CN"/>
        </w:rPr>
        <w:t>评分</w:t>
      </w:r>
      <w:r>
        <w:rPr>
          <w:rFonts w:hint="eastAsia" w:ascii="仿宋_GB2312" w:hAnsi="仿宋_GB2312" w:eastAsia="仿宋_GB2312" w:cs="仿宋_GB2312"/>
          <w:b w:val="0"/>
          <w:bCs w:val="0"/>
          <w:color w:val="auto"/>
          <w:sz w:val="32"/>
          <w:szCs w:val="32"/>
          <w:lang w:val="en-US" w:eastAsia="zh-CN"/>
        </w:rPr>
        <w:t>&gt;</w:t>
      </w:r>
      <w:r>
        <w:rPr>
          <w:rFonts w:hint="eastAsia" w:ascii="Times New Roman" w:hAnsi="Times New Roman"/>
          <w:b w:val="0"/>
          <w:bCs w:val="0"/>
          <w:color w:val="auto"/>
          <w:sz w:val="32"/>
          <w:szCs w:val="32"/>
          <w:lang w:val="en-US" w:eastAsia="zh-CN"/>
        </w:rPr>
        <w:t>80分为信用良好（B级）；80分</w:t>
      </w:r>
      <w:r>
        <w:rPr>
          <w:rFonts w:hint="default" w:ascii="Arial" w:hAnsi="Arial" w:cs="Arial"/>
          <w:b w:val="0"/>
          <w:bCs w:val="0"/>
          <w:color w:val="auto"/>
          <w:sz w:val="32"/>
          <w:szCs w:val="32"/>
          <w:lang w:val="en-US" w:eastAsia="zh-CN"/>
        </w:rPr>
        <w:t>≥</w:t>
      </w:r>
      <w:r>
        <w:rPr>
          <w:rFonts w:hint="eastAsia" w:ascii="Times New Roman" w:hAnsi="Times New Roman"/>
          <w:b w:val="0"/>
          <w:bCs w:val="0"/>
          <w:color w:val="auto"/>
          <w:sz w:val="32"/>
          <w:szCs w:val="32"/>
          <w:lang w:val="en-US" w:eastAsia="zh-CN"/>
        </w:rPr>
        <w:t>评分</w:t>
      </w:r>
      <w:r>
        <w:rPr>
          <w:rFonts w:hint="eastAsia" w:ascii="仿宋_GB2312" w:hAnsi="仿宋_GB2312" w:eastAsia="仿宋_GB2312" w:cs="仿宋_GB2312"/>
          <w:b w:val="0"/>
          <w:bCs w:val="0"/>
          <w:color w:val="auto"/>
          <w:sz w:val="32"/>
          <w:szCs w:val="32"/>
          <w:lang w:val="en-US" w:eastAsia="zh-CN"/>
        </w:rPr>
        <w:t>&gt;</w:t>
      </w:r>
      <w:r>
        <w:rPr>
          <w:rFonts w:hint="eastAsia" w:ascii="Times New Roman" w:hAnsi="Times New Roman"/>
          <w:b w:val="0"/>
          <w:bCs w:val="0"/>
          <w:color w:val="auto"/>
          <w:sz w:val="32"/>
          <w:szCs w:val="32"/>
          <w:lang w:val="en-US" w:eastAsia="zh-CN"/>
        </w:rPr>
        <w:t>60分为一般失信（C级）；评分</w:t>
      </w:r>
      <w:r>
        <w:rPr>
          <w:rFonts w:hint="default" w:ascii="Arial" w:hAnsi="Arial" w:cs="Arial"/>
          <w:b w:val="0"/>
          <w:bCs w:val="0"/>
          <w:color w:val="auto"/>
          <w:sz w:val="32"/>
          <w:szCs w:val="32"/>
          <w:lang w:val="en-US" w:eastAsia="zh-CN"/>
        </w:rPr>
        <w:t>≤</w:t>
      </w:r>
      <w:r>
        <w:rPr>
          <w:rFonts w:hint="eastAsia" w:ascii="Times New Roman" w:hAnsi="Times New Roman"/>
          <w:b w:val="0"/>
          <w:bCs w:val="0"/>
          <w:color w:val="auto"/>
          <w:sz w:val="32"/>
          <w:szCs w:val="32"/>
          <w:lang w:val="en-US" w:eastAsia="zh-CN"/>
        </w:rPr>
        <w:t>60分为严重失信（D级）。</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2" w:firstLineChars="200"/>
        <w:textAlignment w:val="auto"/>
        <w:rPr>
          <w:rFonts w:hint="eastAsia" w:ascii="Times New Roman" w:hAnsi="Times New Roman"/>
          <w:b w:val="0"/>
          <w:bCs w:val="0"/>
          <w:color w:val="auto"/>
          <w:sz w:val="32"/>
          <w:szCs w:val="32"/>
          <w:lang w:val="en-US" w:eastAsia="zh-CN"/>
        </w:rPr>
      </w:pPr>
      <w:r>
        <w:rPr>
          <w:rFonts w:hint="eastAsia" w:ascii="Times New Roman" w:hAnsi="Times New Roman"/>
          <w:b/>
          <w:bCs/>
          <w:color w:val="auto"/>
          <w:sz w:val="32"/>
          <w:szCs w:val="32"/>
          <w:lang w:val="en-US" w:eastAsia="zh-CN"/>
        </w:rPr>
        <w:t>第十七条</w:t>
      </w:r>
      <w:r>
        <w:rPr>
          <w:rFonts w:hint="eastAsia" w:ascii="Times New Roman" w:hAnsi="Times New Roman"/>
          <w:b w:val="0"/>
          <w:bCs w:val="0"/>
          <w:color w:val="auto"/>
          <w:sz w:val="32"/>
          <w:szCs w:val="32"/>
          <w:lang w:val="en-US" w:eastAsia="zh-CN"/>
        </w:rPr>
        <w:t xml:space="preserve">  根据信用评价结果对信用主体实行正面清单、负面清单管理，将连续3年信用优秀（A级）的定点医药机构信用主体列入正面清单（白名单），将有严重失信行为的信用主体列入负面清单（黑名单）。正、负面清单由长沙市医保局通过官方网站、湖南省医疗保障信息平台公共服务子系统等渠道对社会进行公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2" w:firstLineChars="200"/>
        <w:textAlignment w:val="auto"/>
        <w:rPr>
          <w:rFonts w:hint="eastAsia" w:ascii="Times New Roman" w:hAnsi="Times New Roman"/>
          <w:b w:val="0"/>
          <w:bCs w:val="0"/>
          <w:color w:val="auto"/>
          <w:sz w:val="32"/>
          <w:szCs w:val="32"/>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第</w:t>
      </w:r>
      <w:r>
        <w:rPr>
          <w:rFonts w:hint="eastAsia" w:ascii="Times New Roman" w:hAnsi="Times New Roman"/>
          <w:b/>
          <w:bCs/>
          <w:color w:val="auto"/>
          <w:sz w:val="32"/>
          <w:szCs w:val="32"/>
          <w:lang w:val="en-US" w:eastAsia="zh-CN"/>
        </w:rPr>
        <w:t>十八</w:t>
      </w:r>
      <w:r>
        <w:rPr>
          <w:rFonts w:hint="eastAsia" w:ascii="仿宋" w:hAnsi="仿宋" w:eastAsia="仿宋" w:cs="仿宋"/>
          <w:b/>
          <w:bCs/>
          <w:i w:val="0"/>
          <w:iCs w:val="0"/>
          <w:caps w:val="0"/>
          <w:color w:val="auto"/>
          <w:spacing w:val="0"/>
          <w:kern w:val="0"/>
          <w:sz w:val="32"/>
          <w:szCs w:val="32"/>
          <w:shd w:val="clear" w:fill="FFFFFF"/>
          <w:lang w:val="en-US" w:eastAsia="zh-CN" w:bidi="ar"/>
        </w:rPr>
        <w:t>条</w:t>
      </w:r>
      <w:r>
        <w:rPr>
          <w:rFonts w:hint="eastAsia" w:ascii="仿宋" w:hAnsi="仿宋" w:eastAsia="仿宋" w:cs="仿宋"/>
          <w:b w:val="0"/>
          <w:bCs w:val="0"/>
          <w:i w:val="0"/>
          <w:iCs w:val="0"/>
          <w:caps w:val="0"/>
          <w:color w:val="auto"/>
          <w:spacing w:val="0"/>
          <w:kern w:val="0"/>
          <w:sz w:val="32"/>
          <w:szCs w:val="32"/>
          <w:shd w:val="clear" w:fill="FFFFFF"/>
          <w:lang w:val="en-US" w:eastAsia="zh-CN" w:bidi="ar"/>
        </w:rPr>
        <w:t xml:space="preserve">  </w:t>
      </w:r>
      <w:r>
        <w:rPr>
          <w:rFonts w:hint="eastAsia" w:ascii="Times New Roman" w:hAnsi="Times New Roman"/>
          <w:b w:val="0"/>
          <w:bCs w:val="0"/>
          <w:color w:val="auto"/>
          <w:sz w:val="32"/>
          <w:szCs w:val="32"/>
          <w:lang w:val="en-US" w:eastAsia="zh-CN"/>
        </w:rPr>
        <w:t>信用主体的信用评价结果由市级医疗保障局进行统一发布。医疗保障部门应当通过官方网站、湖南省医疗保障信息平台等途径为信用主体提供实时查询服务。</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2" w:lineRule="exact"/>
        <w:ind w:firstLine="642" w:firstLineChars="200"/>
        <w:jc w:val="left"/>
        <w:textAlignment w:val="auto"/>
        <w:rPr>
          <w:rFonts w:hint="eastAsia" w:ascii="Times New Roman" w:hAnsi="Times New Roman" w:eastAsia="仿宋_GB2312" w:cstheme="minorBidi"/>
          <w:b w:val="0"/>
          <w:bCs w:val="0"/>
          <w:color w:val="auto"/>
          <w:kern w:val="2"/>
          <w:sz w:val="32"/>
          <w:szCs w:val="32"/>
          <w:lang w:val="en-US" w:eastAsia="zh-CN" w:bidi="ar-SA"/>
        </w:rPr>
      </w:pPr>
      <w:r>
        <w:rPr>
          <w:rFonts w:hint="eastAsia" w:ascii="Times New Roman" w:hAnsi="Times New Roman" w:eastAsia="仿宋_GB2312" w:cstheme="minorBidi"/>
          <w:b/>
          <w:bCs/>
          <w:color w:val="auto"/>
          <w:kern w:val="2"/>
          <w:sz w:val="32"/>
          <w:szCs w:val="32"/>
          <w:lang w:val="en-US" w:eastAsia="zh-CN" w:bidi="ar-SA"/>
        </w:rPr>
        <w:t>第</w:t>
      </w:r>
      <w:r>
        <w:rPr>
          <w:rFonts w:hint="eastAsia" w:ascii="Times New Roman" w:hAnsi="Times New Roman"/>
          <w:b/>
          <w:bCs/>
          <w:color w:val="auto"/>
          <w:sz w:val="32"/>
          <w:szCs w:val="32"/>
          <w:lang w:val="en-US" w:eastAsia="zh-CN"/>
        </w:rPr>
        <w:t>十九</w:t>
      </w:r>
      <w:r>
        <w:rPr>
          <w:rFonts w:hint="eastAsia" w:ascii="Times New Roman" w:hAnsi="Times New Roman" w:eastAsia="仿宋_GB2312" w:cstheme="minorBidi"/>
          <w:b/>
          <w:bCs/>
          <w:color w:val="auto"/>
          <w:kern w:val="2"/>
          <w:sz w:val="32"/>
          <w:szCs w:val="32"/>
          <w:lang w:val="en-US" w:eastAsia="zh-CN" w:bidi="ar-SA"/>
        </w:rPr>
        <w:t xml:space="preserve">条  </w:t>
      </w:r>
      <w:r>
        <w:rPr>
          <w:rFonts w:hint="eastAsia" w:ascii="Times New Roman" w:hAnsi="Times New Roman" w:eastAsia="仿宋_GB2312" w:cstheme="minorBidi"/>
          <w:b w:val="0"/>
          <w:bCs w:val="0"/>
          <w:color w:val="auto"/>
          <w:kern w:val="2"/>
          <w:sz w:val="32"/>
          <w:szCs w:val="32"/>
          <w:lang w:val="en-US" w:eastAsia="zh-CN" w:bidi="ar-SA"/>
        </w:rPr>
        <w:t>定点医药机构有下列情形之一的，不参与信用评价：</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2" w:lineRule="exact"/>
        <w:ind w:firstLine="640" w:firstLineChars="200"/>
        <w:jc w:val="left"/>
        <w:textAlignment w:val="auto"/>
        <w:rPr>
          <w:rFonts w:hint="eastAsia" w:ascii="Times New Roman" w:hAnsi="Times New Roman" w:eastAsia="仿宋_GB2312" w:cstheme="minorBidi"/>
          <w:b w:val="0"/>
          <w:bCs w:val="0"/>
          <w:color w:val="auto"/>
          <w:kern w:val="2"/>
          <w:sz w:val="32"/>
          <w:szCs w:val="32"/>
          <w:lang w:val="en-US" w:eastAsia="zh-CN" w:bidi="ar-SA"/>
        </w:rPr>
      </w:pPr>
      <w:r>
        <w:rPr>
          <w:rFonts w:hint="eastAsia" w:ascii="Times New Roman" w:hAnsi="Times New Roman" w:eastAsia="仿宋_GB2312" w:cstheme="minorBidi"/>
          <w:b w:val="0"/>
          <w:bCs w:val="0"/>
          <w:color w:val="auto"/>
          <w:kern w:val="2"/>
          <w:sz w:val="32"/>
          <w:szCs w:val="32"/>
          <w:lang w:val="en-US" w:eastAsia="zh-CN" w:bidi="ar-SA"/>
        </w:rPr>
        <w:t>（一）主动解除服务协议的；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2" w:lineRule="exact"/>
        <w:ind w:firstLine="640" w:firstLineChars="200"/>
        <w:jc w:val="left"/>
        <w:textAlignment w:val="auto"/>
        <w:rPr>
          <w:rFonts w:hint="eastAsia" w:ascii="Times New Roman" w:hAnsi="Times New Roman" w:eastAsia="仿宋_GB2312" w:cstheme="minorBidi"/>
          <w:b w:val="0"/>
          <w:bCs w:val="0"/>
          <w:color w:val="auto"/>
          <w:kern w:val="2"/>
          <w:sz w:val="32"/>
          <w:szCs w:val="32"/>
          <w:lang w:val="en-US" w:eastAsia="zh-CN" w:bidi="ar-SA"/>
        </w:rPr>
      </w:pPr>
      <w:r>
        <w:rPr>
          <w:rFonts w:hint="eastAsia" w:ascii="Times New Roman" w:hAnsi="Times New Roman" w:eastAsia="仿宋_GB2312" w:cstheme="minorBidi"/>
          <w:b w:val="0"/>
          <w:bCs w:val="0"/>
          <w:color w:val="auto"/>
          <w:kern w:val="2"/>
          <w:sz w:val="32"/>
          <w:szCs w:val="32"/>
          <w:lang w:val="en-US" w:eastAsia="zh-CN" w:bidi="ar-SA"/>
        </w:rPr>
        <w:t>（二）未达到续签服务协议条件被解除服务协议的；</w:t>
      </w:r>
    </w:p>
    <w:p>
      <w:pPr>
        <w:keepNext w:val="0"/>
        <w:keepLines w:val="0"/>
        <w:pageBreakBefore w:val="0"/>
        <w:widowControl/>
        <w:suppressLineNumbers w:val="0"/>
        <w:shd w:val="clear" w:fill="FFFFFF"/>
        <w:kinsoku/>
        <w:wordWrap/>
        <w:overflowPunct/>
        <w:topLinePunct w:val="0"/>
        <w:autoSpaceDE/>
        <w:autoSpaceDN/>
        <w:bidi w:val="0"/>
        <w:adjustRightInd/>
        <w:snapToGrid/>
        <w:spacing w:afterAutospacing="0" w:line="592" w:lineRule="exact"/>
        <w:ind w:firstLine="640" w:firstLineChars="200"/>
        <w:jc w:val="left"/>
        <w:textAlignment w:val="auto"/>
        <w:rPr>
          <w:rFonts w:hint="eastAsia" w:ascii="Times New Roman" w:hAnsi="Times New Roman" w:eastAsia="仿宋_GB2312" w:cstheme="minorBidi"/>
          <w:b w:val="0"/>
          <w:bCs w:val="0"/>
          <w:color w:val="auto"/>
          <w:kern w:val="2"/>
          <w:sz w:val="32"/>
          <w:szCs w:val="32"/>
          <w:lang w:val="en-US" w:eastAsia="zh-CN" w:bidi="ar-SA"/>
        </w:rPr>
      </w:pPr>
      <w:r>
        <w:rPr>
          <w:rFonts w:hint="eastAsia" w:ascii="Times New Roman" w:hAnsi="Times New Roman" w:eastAsia="仿宋_GB2312" w:cstheme="minorBidi"/>
          <w:b w:val="0"/>
          <w:bCs w:val="0"/>
          <w:color w:val="auto"/>
          <w:kern w:val="2"/>
          <w:sz w:val="32"/>
          <w:szCs w:val="32"/>
          <w:lang w:val="en-US" w:eastAsia="zh-CN" w:bidi="ar-SA"/>
        </w:rPr>
        <w:t>（三）评价年度内无医疗保障基金支出的。</w:t>
      </w:r>
    </w:p>
    <w:p>
      <w:pPr>
        <w:pStyle w:val="5"/>
        <w:numPr>
          <w:ilvl w:val="0"/>
          <w:numId w:val="0"/>
        </w:numPr>
        <w:spacing w:line="592" w:lineRule="exact"/>
        <w:ind w:firstLine="642" w:firstLineChars="200"/>
        <w:jc w:val="center"/>
        <w:rPr>
          <w:rFonts w:hint="default" w:ascii="Times New Roman" w:hAnsi="Times New Roman" w:cs="Times New Roman"/>
          <w:b/>
          <w:bCs/>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第四章  结果应用</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2" w:firstLineChars="200"/>
        <w:textAlignment w:val="auto"/>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第二十条</w:t>
      </w:r>
      <w:r>
        <w:rPr>
          <w:rFonts w:hint="eastAsia" w:ascii="Times New Roman" w:hAnsi="Times New Roman" w:cs="Times New Roman"/>
          <w:b w:val="0"/>
          <w:bCs w:val="0"/>
          <w:color w:val="auto"/>
          <w:kern w:val="0"/>
          <w:sz w:val="32"/>
          <w:szCs w:val="32"/>
          <w:lang w:val="en-US" w:eastAsia="zh-CN"/>
        </w:rPr>
        <w:t xml:space="preserve">  各级医疗保障部门按照守信激励、失信惩戒的原则，根据信用评价结果对信用主体实行分类管理，综合运用于医保基金使用参与主体的协议管理、检查稽核、支付方式等方面管理工作。</w:t>
      </w:r>
    </w:p>
    <w:p>
      <w:pPr>
        <w:pStyle w:val="5"/>
        <w:numPr>
          <w:ilvl w:val="0"/>
          <w:numId w:val="0"/>
        </w:numPr>
        <w:spacing w:line="592" w:lineRule="exact"/>
        <w:ind w:firstLine="642"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第二十一条</w:t>
      </w:r>
      <w:r>
        <w:rPr>
          <w:rFonts w:hint="eastAsia" w:ascii="Times New Roman" w:hAnsi="Times New Roman" w:cs="Times New Roman"/>
          <w:b w:val="0"/>
          <w:bCs w:val="0"/>
          <w:color w:val="auto"/>
          <w:kern w:val="0"/>
          <w:sz w:val="32"/>
          <w:szCs w:val="32"/>
          <w:lang w:val="en-US" w:eastAsia="zh-CN"/>
        </w:rPr>
        <w:t xml:space="preserve">  对定点医药机构等结构类信用主体的奖惩应用：</w:t>
      </w:r>
    </w:p>
    <w:p>
      <w:pPr>
        <w:pStyle w:val="5"/>
        <w:numPr>
          <w:ilvl w:val="0"/>
          <w:numId w:val="0"/>
        </w:numPr>
        <w:spacing w:line="592" w:lineRule="exact"/>
        <w:ind w:firstLine="640" w:firstLineChars="200"/>
        <w:rPr>
          <w:rFonts w:hint="default"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（一）对信用等级优秀的，在各级医疗保障部门官方网站进行宣传。在日常监督检查或抽查中适当减少检查频次，提高医疗保障基金预拨付额度等措施。</w:t>
      </w:r>
    </w:p>
    <w:p>
      <w:pPr>
        <w:pStyle w:val="5"/>
        <w:numPr>
          <w:ilvl w:val="0"/>
          <w:numId w:val="0"/>
        </w:numPr>
        <w:spacing w:line="592" w:lineRule="exact"/>
        <w:ind w:firstLine="640" w:firstLineChars="200"/>
        <w:rPr>
          <w:rFonts w:hint="default"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（二）对信用等级良好的，按正常规定进行检查稽核。</w:t>
      </w:r>
    </w:p>
    <w:p>
      <w:pPr>
        <w:pStyle w:val="5"/>
        <w:numPr>
          <w:ilvl w:val="0"/>
          <w:numId w:val="0"/>
        </w:numPr>
        <w:spacing w:line="592" w:lineRule="exact"/>
        <w:ind w:firstLine="640" w:firstLineChars="200"/>
        <w:rPr>
          <w:rFonts w:hint="default"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（三）对一般失信的，列为重点监控和监督检查对象。</w:t>
      </w:r>
    </w:p>
    <w:p>
      <w:pPr>
        <w:pStyle w:val="5"/>
        <w:numPr>
          <w:ilvl w:val="0"/>
          <w:numId w:val="0"/>
        </w:numPr>
        <w:spacing w:line="592" w:lineRule="exact"/>
        <w:ind w:firstLine="640" w:firstLineChars="200"/>
        <w:rPr>
          <w:rFonts w:hint="default"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（四）对</w:t>
      </w:r>
      <w:r>
        <w:rPr>
          <w:rFonts w:hint="eastAsia" w:ascii="Times New Roman" w:hAnsi="Times New Roman"/>
          <w:b w:val="0"/>
          <w:bCs w:val="0"/>
          <w:color w:val="auto"/>
          <w:sz w:val="32"/>
          <w:szCs w:val="32"/>
          <w:lang w:val="en-US" w:eastAsia="zh-CN"/>
        </w:rPr>
        <w:t>严重失信</w:t>
      </w:r>
      <w:r>
        <w:rPr>
          <w:rFonts w:hint="eastAsia" w:ascii="Times New Roman" w:hAnsi="Times New Roman" w:cs="Times New Roman"/>
          <w:b w:val="0"/>
          <w:bCs w:val="0"/>
          <w:color w:val="auto"/>
          <w:kern w:val="0"/>
          <w:sz w:val="32"/>
          <w:szCs w:val="32"/>
          <w:lang w:val="en-US" w:eastAsia="zh-CN"/>
        </w:rPr>
        <w:t>的，</w:t>
      </w:r>
      <w:r>
        <w:rPr>
          <w:rFonts w:hint="eastAsia" w:ascii="Times New Roman" w:hAnsi="Times New Roman"/>
          <w:b w:val="0"/>
          <w:bCs w:val="0"/>
          <w:color w:val="auto"/>
          <w:sz w:val="32"/>
          <w:szCs w:val="32"/>
          <w:lang w:val="en-US" w:eastAsia="zh-CN"/>
        </w:rPr>
        <w:t>列入负面清单，</w:t>
      </w:r>
      <w:r>
        <w:rPr>
          <w:rFonts w:hint="eastAsia" w:ascii="Times New Roman" w:hAnsi="Times New Roman" w:cs="Times New Roman"/>
          <w:b w:val="0"/>
          <w:bCs w:val="0"/>
          <w:color w:val="auto"/>
          <w:kern w:val="0"/>
          <w:sz w:val="32"/>
          <w:szCs w:val="32"/>
          <w:lang w:val="en-US" w:eastAsia="zh-CN"/>
        </w:rPr>
        <w:t>警示约谈，要求限期整改，并作为重点监控和监督检查对象，并增加检查稽核频次，降低医疗保障基金预拨付款5%。</w:t>
      </w:r>
    </w:p>
    <w:p>
      <w:pPr>
        <w:pStyle w:val="5"/>
        <w:numPr>
          <w:ilvl w:val="0"/>
          <w:numId w:val="0"/>
        </w:numPr>
        <w:spacing w:line="592" w:lineRule="exact"/>
        <w:ind w:firstLine="642"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第二十二条</w:t>
      </w:r>
      <w:r>
        <w:rPr>
          <w:rFonts w:hint="eastAsia" w:ascii="Times New Roman" w:hAnsi="Times New Roman" w:cs="Times New Roman"/>
          <w:b w:val="0"/>
          <w:bCs w:val="0"/>
          <w:color w:val="auto"/>
          <w:kern w:val="0"/>
          <w:sz w:val="32"/>
          <w:szCs w:val="32"/>
          <w:lang w:val="en-US" w:eastAsia="zh-CN"/>
        </w:rPr>
        <w:t xml:space="preserve">  对个人类信用主体的奖惩应用：</w:t>
      </w:r>
    </w:p>
    <w:p>
      <w:pPr>
        <w:pStyle w:val="5"/>
        <w:numPr>
          <w:ilvl w:val="0"/>
          <w:numId w:val="0"/>
        </w:numPr>
        <w:spacing w:line="592" w:lineRule="exact"/>
        <w:ind w:firstLine="640"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（一）对信用优秀的，提供信用就医、容缺受理服务等措施。</w:t>
      </w:r>
    </w:p>
    <w:p>
      <w:pPr>
        <w:pStyle w:val="5"/>
        <w:numPr>
          <w:ilvl w:val="0"/>
          <w:numId w:val="0"/>
        </w:numPr>
        <w:spacing w:line="592" w:lineRule="exact"/>
        <w:ind w:firstLine="640" w:firstLineChars="200"/>
        <w:rPr>
          <w:rFonts w:hint="default"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（二）对信用等级良好的，按正常规定进行检查稽核。</w:t>
      </w:r>
    </w:p>
    <w:p>
      <w:pPr>
        <w:pStyle w:val="5"/>
        <w:numPr>
          <w:ilvl w:val="0"/>
          <w:numId w:val="0"/>
        </w:numPr>
        <w:spacing w:line="592" w:lineRule="exact"/>
        <w:ind w:firstLine="640" w:firstLineChars="200"/>
        <w:rPr>
          <w:rFonts w:hint="default"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（三）对一般失信的，列为重点监控和监督检查对象。</w:t>
      </w:r>
    </w:p>
    <w:p>
      <w:pPr>
        <w:pStyle w:val="5"/>
        <w:numPr>
          <w:ilvl w:val="0"/>
          <w:numId w:val="0"/>
        </w:numPr>
        <w:spacing w:line="592" w:lineRule="exact"/>
        <w:ind w:firstLine="640" w:firstLineChars="200"/>
        <w:rPr>
          <w:rFonts w:hint="default"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（四）对</w:t>
      </w:r>
      <w:r>
        <w:rPr>
          <w:rFonts w:hint="eastAsia" w:ascii="Times New Roman" w:hAnsi="Times New Roman"/>
          <w:b w:val="0"/>
          <w:bCs w:val="0"/>
          <w:color w:val="auto"/>
          <w:sz w:val="32"/>
          <w:szCs w:val="32"/>
          <w:lang w:val="en-US" w:eastAsia="zh-CN"/>
        </w:rPr>
        <w:t>严重失信</w:t>
      </w:r>
      <w:r>
        <w:rPr>
          <w:rFonts w:hint="eastAsia" w:ascii="Times New Roman" w:hAnsi="Times New Roman" w:cs="Times New Roman"/>
          <w:b w:val="0"/>
          <w:bCs w:val="0"/>
          <w:color w:val="auto"/>
          <w:kern w:val="0"/>
          <w:sz w:val="32"/>
          <w:szCs w:val="32"/>
          <w:lang w:val="en-US" w:eastAsia="zh-CN"/>
        </w:rPr>
        <w:t>的，</w:t>
      </w:r>
      <w:r>
        <w:rPr>
          <w:rFonts w:hint="eastAsia" w:ascii="Times New Roman" w:hAnsi="Times New Roman"/>
          <w:b w:val="0"/>
          <w:bCs w:val="0"/>
          <w:color w:val="auto"/>
          <w:sz w:val="32"/>
          <w:szCs w:val="32"/>
          <w:lang w:val="en-US" w:eastAsia="zh-CN"/>
        </w:rPr>
        <w:t>列入负面清单并依法依规查处</w:t>
      </w:r>
      <w:r>
        <w:rPr>
          <w:rFonts w:hint="eastAsia" w:ascii="Times New Roman" w:hAnsi="Times New Roman" w:cs="Times New Roman"/>
          <w:b w:val="0"/>
          <w:bCs w:val="0"/>
          <w:color w:val="auto"/>
          <w:kern w:val="0"/>
          <w:sz w:val="32"/>
          <w:szCs w:val="32"/>
          <w:lang w:val="en-US" w:eastAsia="zh-CN"/>
        </w:rPr>
        <w:t>。</w:t>
      </w:r>
    </w:p>
    <w:p>
      <w:pPr>
        <w:pStyle w:val="5"/>
        <w:numPr>
          <w:ilvl w:val="0"/>
          <w:numId w:val="0"/>
        </w:numPr>
        <w:spacing w:line="592" w:lineRule="exact"/>
        <w:ind w:firstLine="642" w:firstLineChars="200"/>
        <w:rPr>
          <w:rFonts w:hint="default"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第二十三条</w:t>
      </w:r>
      <w:r>
        <w:rPr>
          <w:rFonts w:hint="eastAsia" w:ascii="Times New Roman" w:hAnsi="Times New Roman" w:cs="Times New Roman"/>
          <w:b w:val="0"/>
          <w:bCs w:val="0"/>
          <w:color w:val="auto"/>
          <w:kern w:val="0"/>
          <w:sz w:val="32"/>
          <w:szCs w:val="32"/>
          <w:lang w:val="en-US" w:eastAsia="zh-CN"/>
        </w:rPr>
        <w:t xml:space="preserve">  各级医疗保障部门应积极参与社会信用体系建设，加强与发展改革、大数据、卫生健康、人力资源社会保障、市场监管、税务等部门的联系，建立信用信息共建共享机制，推动医疗保障信用与其他社会信用联动管理。</w:t>
      </w:r>
    </w:p>
    <w:p>
      <w:pPr>
        <w:pStyle w:val="5"/>
        <w:numPr>
          <w:ilvl w:val="0"/>
          <w:numId w:val="0"/>
        </w:numPr>
        <w:spacing w:line="592" w:lineRule="exact"/>
        <w:ind w:firstLine="2891" w:firstLineChars="900"/>
        <w:jc w:val="both"/>
        <w:rPr>
          <w:rFonts w:hint="default"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第五章  异议处理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2" w:firstLineChars="200"/>
        <w:textAlignment w:val="auto"/>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 xml:space="preserve">第二十四条  </w:t>
      </w:r>
      <w:r>
        <w:rPr>
          <w:rFonts w:hint="eastAsia" w:ascii="Times New Roman" w:hAnsi="Times New Roman" w:cs="Times New Roman"/>
          <w:b w:val="0"/>
          <w:bCs w:val="0"/>
          <w:color w:val="auto"/>
          <w:kern w:val="0"/>
          <w:sz w:val="32"/>
          <w:szCs w:val="32"/>
          <w:lang w:val="en-US" w:eastAsia="zh-CN"/>
        </w:rPr>
        <w:t>信用主体认为其医疗保障信用信息的内容存在错误、遗漏，或者信息采集、归集、披露、使用过程中存在侵犯其合法权益的，可以向医疗保障部门提出异议申请（附件4）。</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2" w:firstLineChars="200"/>
        <w:textAlignment w:val="auto"/>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第二十五条</w:t>
      </w:r>
      <w:r>
        <w:rPr>
          <w:rFonts w:hint="eastAsia" w:ascii="Times New Roman" w:hAnsi="Times New Roman" w:cs="Times New Roman"/>
          <w:b w:val="0"/>
          <w:bCs w:val="0"/>
          <w:color w:val="auto"/>
          <w:kern w:val="0"/>
          <w:sz w:val="32"/>
          <w:szCs w:val="32"/>
          <w:lang w:val="en-US" w:eastAsia="zh-CN"/>
        </w:rPr>
        <w:t xml:space="preserve">  医疗保障部门应当自收到异议申请之日起3个工作日内进行核查并处理；需要其他单位协助核查信息的，应当自收到异议申请之日起5个工作日内进行核查并处理。处理结果应当书面通知异议申请人。</w:t>
      </w:r>
    </w:p>
    <w:p>
      <w:pPr>
        <w:pStyle w:val="5"/>
        <w:numPr>
          <w:ilvl w:val="0"/>
          <w:numId w:val="0"/>
        </w:numPr>
        <w:spacing w:line="592" w:lineRule="exact"/>
        <w:ind w:firstLine="642" w:firstLineChars="200"/>
        <w:jc w:val="center"/>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第六章  信用修复</w:t>
      </w:r>
    </w:p>
    <w:p>
      <w:pPr>
        <w:pStyle w:val="5"/>
        <w:numPr>
          <w:ilvl w:val="0"/>
          <w:numId w:val="0"/>
        </w:numPr>
        <w:spacing w:line="592" w:lineRule="exact"/>
        <w:ind w:firstLine="642"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第二十六条</w:t>
      </w:r>
      <w:r>
        <w:rPr>
          <w:rFonts w:hint="eastAsia" w:ascii="Times New Roman" w:hAnsi="Times New Roman" w:cs="Times New Roman"/>
          <w:b w:val="0"/>
          <w:bCs w:val="0"/>
          <w:color w:val="auto"/>
          <w:kern w:val="0"/>
          <w:sz w:val="32"/>
          <w:szCs w:val="32"/>
          <w:lang w:val="en-US" w:eastAsia="zh-CN"/>
        </w:rPr>
        <w:t xml:space="preserve">  信用主体在失信信息公示期限内同时符合下列条件的，可以向作出信用评价的医疗保障部门提出信用修复申请：</w:t>
      </w:r>
    </w:p>
    <w:p>
      <w:pPr>
        <w:pStyle w:val="5"/>
        <w:numPr>
          <w:ilvl w:val="0"/>
          <w:numId w:val="0"/>
        </w:numPr>
        <w:spacing w:line="592" w:lineRule="exact"/>
        <w:ind w:firstLine="640"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（一）失信的信用主体被评为信用失信之日起公开满6个月的；</w:t>
      </w:r>
    </w:p>
    <w:p>
      <w:pPr>
        <w:pStyle w:val="5"/>
        <w:numPr>
          <w:ilvl w:val="0"/>
          <w:numId w:val="0"/>
        </w:numPr>
        <w:spacing w:line="592" w:lineRule="exact"/>
        <w:ind w:firstLine="640"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（二）失信的信用主体已对失信行为进行纠正，按照法律、法规、规章等有关规定履行完毕法定责任或者约定义务，失信行为的不良影响已基本消除；</w:t>
      </w:r>
    </w:p>
    <w:p>
      <w:pPr>
        <w:pStyle w:val="5"/>
        <w:numPr>
          <w:ilvl w:val="0"/>
          <w:numId w:val="0"/>
        </w:numPr>
        <w:spacing w:line="592" w:lineRule="exact"/>
        <w:ind w:firstLine="640"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（三）失信的信用主体在公开期间无新增不良信用记录；</w:t>
      </w:r>
    </w:p>
    <w:p>
      <w:pPr>
        <w:pStyle w:val="5"/>
        <w:numPr>
          <w:ilvl w:val="0"/>
          <w:numId w:val="0"/>
        </w:numPr>
        <w:spacing w:line="592" w:lineRule="exact"/>
        <w:ind w:firstLine="640"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（四）法律、法规、规章等另有规定的从其规定。</w:t>
      </w:r>
    </w:p>
    <w:p>
      <w:pPr>
        <w:pStyle w:val="5"/>
        <w:numPr>
          <w:ilvl w:val="0"/>
          <w:numId w:val="0"/>
        </w:numPr>
        <w:spacing w:line="592" w:lineRule="exact"/>
        <w:ind w:firstLine="642"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 xml:space="preserve">第二十七条  </w:t>
      </w:r>
      <w:r>
        <w:rPr>
          <w:rFonts w:hint="eastAsia" w:ascii="Times New Roman" w:hAnsi="Times New Roman" w:cs="Times New Roman"/>
          <w:b w:val="0"/>
          <w:bCs w:val="0"/>
          <w:color w:val="auto"/>
          <w:kern w:val="0"/>
          <w:sz w:val="32"/>
          <w:szCs w:val="32"/>
          <w:lang w:val="en-US" w:eastAsia="zh-CN"/>
        </w:rPr>
        <w:t>失信主体向做出信用评价的医疗保障部门提出信用修复申请应当同时提交下列材料：</w:t>
      </w:r>
    </w:p>
    <w:p>
      <w:pPr>
        <w:pStyle w:val="5"/>
        <w:numPr>
          <w:ilvl w:val="0"/>
          <w:numId w:val="0"/>
        </w:numPr>
        <w:spacing w:line="592" w:lineRule="exact"/>
        <w:ind w:firstLine="640"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（一）信用修复申请表（附件5）；</w:t>
      </w:r>
    </w:p>
    <w:p>
      <w:pPr>
        <w:pStyle w:val="5"/>
        <w:numPr>
          <w:ilvl w:val="0"/>
          <w:numId w:val="0"/>
        </w:numPr>
        <w:spacing w:line="592" w:lineRule="exact"/>
        <w:ind w:firstLine="640"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（二）违法违规行为纠正、整改情况的相关证明材料。</w:t>
      </w:r>
    </w:p>
    <w:p>
      <w:pPr>
        <w:pStyle w:val="5"/>
        <w:numPr>
          <w:ilvl w:val="0"/>
          <w:numId w:val="0"/>
        </w:numPr>
        <w:spacing w:line="592" w:lineRule="exact"/>
        <w:ind w:firstLine="640"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（三）积极提升自身信用水平措施的佐证材料。</w:t>
      </w:r>
    </w:p>
    <w:p>
      <w:pPr>
        <w:pStyle w:val="5"/>
        <w:numPr>
          <w:ilvl w:val="0"/>
          <w:numId w:val="0"/>
        </w:numPr>
        <w:spacing w:line="592" w:lineRule="exact"/>
        <w:ind w:firstLine="642" w:firstLineChars="200"/>
        <w:jc w:val="left"/>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 xml:space="preserve"> </w:t>
      </w:r>
      <w:r>
        <w:rPr>
          <w:rFonts w:hint="eastAsia" w:ascii="Times New Roman" w:hAnsi="Times New Roman" w:cs="Times New Roman"/>
          <w:b w:val="0"/>
          <w:bCs w:val="0"/>
          <w:color w:val="auto"/>
          <w:kern w:val="0"/>
          <w:sz w:val="32"/>
          <w:szCs w:val="32"/>
          <w:lang w:val="en-US" w:eastAsia="zh-CN"/>
        </w:rPr>
        <w:t>作出失信认定的医疗保障部门应当在受理信用修复申请后10个工作日内作出处理意见。对于符合信用修复条件的，予以信用修复，并在官方网站进行公示，公示期5个工作日，期满无异议的，按程序进行信用修复。不符合信用修复条件的，不予修复，并书面告知。</w:t>
      </w:r>
    </w:p>
    <w:p>
      <w:pPr>
        <w:pStyle w:val="5"/>
        <w:numPr>
          <w:ilvl w:val="0"/>
          <w:numId w:val="0"/>
        </w:numPr>
        <w:spacing w:line="592" w:lineRule="exact"/>
        <w:ind w:firstLine="640" w:firstLineChars="200"/>
        <w:jc w:val="left"/>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信用修复申请生效的，信用评价进行相应调整，但不撤销失信记录。</w:t>
      </w:r>
    </w:p>
    <w:p>
      <w:pPr>
        <w:pStyle w:val="5"/>
        <w:numPr>
          <w:ilvl w:val="0"/>
          <w:numId w:val="0"/>
        </w:numPr>
        <w:spacing w:line="592" w:lineRule="exact"/>
        <w:jc w:val="center"/>
        <w:rPr>
          <w:rFonts w:hint="default" w:ascii="Times New Roman" w:hAnsi="Times New Roman" w:cs="Times New Roman"/>
          <w:b/>
          <w:bCs/>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第七章 附则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2" w:lineRule="exact"/>
        <w:ind w:firstLine="642" w:firstLineChars="200"/>
        <w:textAlignment w:val="auto"/>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第二十八条</w:t>
      </w:r>
      <w:r>
        <w:rPr>
          <w:rFonts w:hint="eastAsia" w:ascii="Times New Roman" w:hAnsi="Times New Roman" w:cs="Times New Roman"/>
          <w:b w:val="0"/>
          <w:bCs w:val="0"/>
          <w:color w:val="auto"/>
          <w:kern w:val="0"/>
          <w:sz w:val="32"/>
          <w:szCs w:val="32"/>
          <w:lang w:val="en-US" w:eastAsia="zh-CN"/>
        </w:rPr>
        <w:t xml:space="preserve">  在医疗保障信用信息归集、采集、公开、共享、查询和应用等过程中，损害信用主体合法权益的，应当依法承担民事责任；构成犯罪的，依法追究刑事责任。</w:t>
      </w:r>
    </w:p>
    <w:p>
      <w:pPr>
        <w:pStyle w:val="5"/>
        <w:numPr>
          <w:ilvl w:val="0"/>
          <w:numId w:val="0"/>
        </w:numPr>
        <w:spacing w:line="592" w:lineRule="exact"/>
        <w:ind w:firstLine="642"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 xml:space="preserve">第二十九条 </w:t>
      </w:r>
      <w:r>
        <w:rPr>
          <w:rFonts w:hint="eastAsia" w:ascii="Times New Roman" w:hAnsi="Times New Roman" w:cs="Times New Roman"/>
          <w:b w:val="0"/>
          <w:bCs w:val="0"/>
          <w:color w:val="auto"/>
          <w:kern w:val="0"/>
          <w:sz w:val="32"/>
          <w:szCs w:val="32"/>
          <w:lang w:val="en-US" w:eastAsia="zh-CN"/>
        </w:rPr>
        <w:t xml:space="preserve"> 本细则由长沙市医疗保障局负责解释。相关法律法规及国家医疗保障部门另有规定的，从其规定。</w:t>
      </w:r>
    </w:p>
    <w:p>
      <w:pPr>
        <w:pStyle w:val="5"/>
        <w:numPr>
          <w:ilvl w:val="0"/>
          <w:numId w:val="0"/>
        </w:numPr>
        <w:spacing w:line="592" w:lineRule="exact"/>
        <w:ind w:firstLine="642"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bCs/>
          <w:color w:val="auto"/>
          <w:kern w:val="0"/>
          <w:sz w:val="32"/>
          <w:szCs w:val="32"/>
          <w:lang w:val="en-US" w:eastAsia="zh-CN"/>
        </w:rPr>
        <w:t xml:space="preserve">第三十条  </w:t>
      </w:r>
      <w:r>
        <w:rPr>
          <w:rFonts w:hint="eastAsia" w:ascii="Times New Roman" w:hAnsi="Times New Roman" w:cs="Times New Roman"/>
          <w:b w:val="0"/>
          <w:bCs w:val="0"/>
          <w:color w:val="auto"/>
          <w:kern w:val="0"/>
          <w:sz w:val="32"/>
          <w:szCs w:val="32"/>
          <w:lang w:val="en-US" w:eastAsia="zh-CN"/>
        </w:rPr>
        <w:t>本细则自2022年X月X日起施行，试行期限X年。</w:t>
      </w:r>
    </w:p>
    <w:p>
      <w:pPr>
        <w:pStyle w:val="5"/>
        <w:numPr>
          <w:ilvl w:val="0"/>
          <w:numId w:val="0"/>
        </w:numPr>
        <w:spacing w:line="592" w:lineRule="exact"/>
        <w:ind w:firstLine="640" w:firstLineChars="200"/>
        <w:rPr>
          <w:rFonts w:hint="eastAsia" w:ascii="Times New Roman" w:hAnsi="Times New Roman" w:cs="Times New Roman"/>
          <w:b w:val="0"/>
          <w:bCs w:val="0"/>
          <w:color w:val="auto"/>
          <w:kern w:val="0"/>
          <w:sz w:val="32"/>
          <w:szCs w:val="32"/>
          <w:lang w:val="en-US" w:eastAsia="zh-CN"/>
        </w:rPr>
      </w:pPr>
    </w:p>
    <w:p>
      <w:pPr>
        <w:pStyle w:val="5"/>
        <w:numPr>
          <w:ilvl w:val="0"/>
          <w:numId w:val="0"/>
        </w:numPr>
        <w:spacing w:line="592" w:lineRule="exact"/>
        <w:ind w:firstLine="640" w:firstLineChars="200"/>
        <w:rPr>
          <w:rFonts w:hint="default"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附件：</w:t>
      </w:r>
    </w:p>
    <w:p>
      <w:pPr>
        <w:pStyle w:val="5"/>
        <w:numPr>
          <w:ilvl w:val="0"/>
          <w:numId w:val="0"/>
        </w:numPr>
        <w:spacing w:line="592" w:lineRule="exact"/>
        <w:ind w:firstLine="640"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1、定点医药机构信用评价指标体系</w:t>
      </w:r>
    </w:p>
    <w:p>
      <w:pPr>
        <w:pStyle w:val="5"/>
        <w:numPr>
          <w:ilvl w:val="0"/>
          <w:numId w:val="0"/>
        </w:numPr>
        <w:spacing w:line="592" w:lineRule="exact"/>
        <w:ind w:firstLine="640"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2、定点医药机构从业人员信用评价指标体系</w:t>
      </w:r>
    </w:p>
    <w:p>
      <w:pPr>
        <w:pStyle w:val="5"/>
        <w:numPr>
          <w:ilvl w:val="0"/>
          <w:numId w:val="0"/>
        </w:numPr>
        <w:tabs>
          <w:tab w:val="left" w:pos="636"/>
        </w:tabs>
        <w:spacing w:line="592" w:lineRule="exact"/>
        <w:ind w:firstLine="640" w:firstLineChars="200"/>
        <w:rPr>
          <w:rFonts w:hint="default"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3、参保人员信用评价指标体系</w:t>
      </w:r>
    </w:p>
    <w:p>
      <w:pPr>
        <w:pStyle w:val="5"/>
        <w:numPr>
          <w:ilvl w:val="0"/>
          <w:numId w:val="0"/>
        </w:numPr>
        <w:spacing w:line="592" w:lineRule="exact"/>
        <w:ind w:firstLine="640" w:firstLineChars="200"/>
        <w:rPr>
          <w:rFonts w:hint="default"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4、长沙市医疗保障信用异议信息处理申请表</w:t>
      </w:r>
    </w:p>
    <w:p>
      <w:pPr>
        <w:pStyle w:val="5"/>
        <w:numPr>
          <w:ilvl w:val="0"/>
          <w:numId w:val="0"/>
        </w:numPr>
        <w:spacing w:line="592" w:lineRule="exact"/>
        <w:ind w:firstLine="640" w:firstLineChars="200"/>
        <w:rPr>
          <w:rFonts w:hint="eastAsia"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5、长沙市医疗保障信用修复申请表</w:t>
      </w:r>
    </w:p>
    <w:p>
      <w:pPr>
        <w:pStyle w:val="5"/>
        <w:numPr>
          <w:ilvl w:val="0"/>
          <w:numId w:val="0"/>
        </w:numPr>
        <w:spacing w:line="592" w:lineRule="exact"/>
        <w:ind w:firstLine="640" w:firstLineChars="200"/>
        <w:rPr>
          <w:rFonts w:hint="default" w:ascii="Times New Roman" w:hAnsi="Times New Roman" w:cs="Times New Roman"/>
          <w:b w:val="0"/>
          <w:bCs w:val="0"/>
          <w:color w:val="auto"/>
          <w:kern w:val="0"/>
          <w:sz w:val="32"/>
          <w:szCs w:val="32"/>
          <w:lang w:val="en-US" w:eastAsia="zh-CN"/>
        </w:rPr>
      </w:pPr>
      <w:r>
        <w:rPr>
          <w:rFonts w:hint="eastAsia" w:ascii="Times New Roman" w:hAnsi="Times New Roman" w:cs="Times New Roman"/>
          <w:b w:val="0"/>
          <w:bCs w:val="0"/>
          <w:color w:val="auto"/>
          <w:kern w:val="0"/>
          <w:sz w:val="32"/>
          <w:szCs w:val="32"/>
          <w:lang w:val="en-US" w:eastAsia="zh-CN"/>
        </w:rPr>
        <w:t>6、不予信用修复告知书</w:t>
      </w:r>
    </w:p>
    <w:p>
      <w:pPr>
        <w:widowControl/>
        <w:shd w:val="clear" w:color="auto" w:fill="FFFFFF"/>
        <w:spacing w:line="720" w:lineRule="atLeast"/>
        <w:jc w:val="left"/>
        <w:rPr>
          <w:rFonts w:hint="eastAsia" w:ascii="黑体" w:hAnsi="黑体" w:eastAsia="黑体" w:cs="黑体"/>
          <w:kern w:val="0"/>
          <w:sz w:val="32"/>
          <w:szCs w:val="32"/>
          <w:lang w:val="en-US" w:eastAsia="zh-CN"/>
        </w:rPr>
      </w:pPr>
    </w:p>
    <w:p>
      <w:pPr>
        <w:pStyle w:val="2"/>
        <w:rPr>
          <w:rFonts w:hint="eastAsia" w:ascii="黑体" w:hAnsi="黑体" w:eastAsia="黑体" w:cs="黑体"/>
          <w:kern w:val="0"/>
          <w:sz w:val="32"/>
          <w:szCs w:val="32"/>
          <w:lang w:val="en-US" w:eastAsia="zh-CN"/>
        </w:rPr>
      </w:pPr>
    </w:p>
    <w:p>
      <w:pPr>
        <w:rPr>
          <w:rFonts w:hint="eastAsia" w:ascii="黑体" w:hAnsi="黑体" w:eastAsia="黑体" w:cs="黑体"/>
          <w:kern w:val="0"/>
          <w:sz w:val="32"/>
          <w:szCs w:val="32"/>
          <w:lang w:val="en-US" w:eastAsia="zh-CN"/>
        </w:rPr>
      </w:pPr>
    </w:p>
    <w:p>
      <w:pPr>
        <w:pStyle w:val="2"/>
        <w:rPr>
          <w:rFonts w:hint="eastAsia" w:ascii="黑体" w:hAnsi="黑体" w:eastAsia="黑体" w:cs="黑体"/>
          <w:kern w:val="0"/>
          <w:sz w:val="32"/>
          <w:szCs w:val="32"/>
          <w:lang w:val="en-US" w:eastAsia="zh-CN"/>
        </w:rPr>
      </w:pPr>
    </w:p>
    <w:p>
      <w:pPr>
        <w:rPr>
          <w:rFonts w:hint="eastAsia" w:ascii="黑体" w:hAnsi="黑体" w:eastAsia="黑体" w:cs="黑体"/>
          <w:kern w:val="0"/>
          <w:sz w:val="32"/>
          <w:szCs w:val="32"/>
          <w:lang w:val="en-US" w:eastAsia="zh-CN"/>
        </w:rPr>
      </w:pPr>
    </w:p>
    <w:p>
      <w:pPr>
        <w:pStyle w:val="2"/>
        <w:rPr>
          <w:rFonts w:hint="eastAsia" w:ascii="黑体" w:hAnsi="黑体" w:eastAsia="黑体" w:cs="黑体"/>
          <w:kern w:val="0"/>
          <w:sz w:val="32"/>
          <w:szCs w:val="32"/>
          <w:lang w:val="en-US" w:eastAsia="zh-CN"/>
        </w:rPr>
      </w:pPr>
    </w:p>
    <w:p>
      <w:pPr>
        <w:rPr>
          <w:rFonts w:hint="eastAsia" w:ascii="黑体" w:hAnsi="黑体" w:eastAsia="黑体" w:cs="黑体"/>
          <w:kern w:val="0"/>
          <w:sz w:val="32"/>
          <w:szCs w:val="32"/>
          <w:lang w:val="en-US" w:eastAsia="zh-CN"/>
        </w:rPr>
      </w:pPr>
    </w:p>
    <w:p>
      <w:pPr>
        <w:pStyle w:val="2"/>
        <w:rPr>
          <w:rFonts w:hint="eastAsia" w:ascii="黑体" w:hAnsi="黑体" w:eastAsia="黑体" w:cs="黑体"/>
          <w:kern w:val="0"/>
          <w:sz w:val="32"/>
          <w:szCs w:val="32"/>
          <w:lang w:val="en-US" w:eastAsia="zh-CN"/>
        </w:rPr>
      </w:pPr>
    </w:p>
    <w:p>
      <w:pPr>
        <w:rPr>
          <w:rFonts w:hint="eastAsia" w:ascii="黑体" w:hAnsi="黑体" w:eastAsia="黑体" w:cs="黑体"/>
          <w:kern w:val="0"/>
          <w:sz w:val="32"/>
          <w:szCs w:val="32"/>
          <w:lang w:val="en-US" w:eastAsia="zh-CN"/>
        </w:rPr>
      </w:pPr>
    </w:p>
    <w:p>
      <w:pPr>
        <w:pStyle w:val="2"/>
        <w:rPr>
          <w:rFonts w:hint="eastAsia" w:ascii="黑体" w:hAnsi="黑体" w:eastAsia="黑体" w:cs="黑体"/>
          <w:kern w:val="0"/>
          <w:sz w:val="32"/>
          <w:szCs w:val="32"/>
          <w:lang w:val="en-US" w:eastAsia="zh-CN"/>
        </w:rPr>
      </w:pPr>
    </w:p>
    <w:p>
      <w:pPr>
        <w:rPr>
          <w:rFonts w:hint="eastAsia" w:ascii="黑体" w:hAnsi="黑体" w:eastAsia="黑体" w:cs="黑体"/>
          <w:kern w:val="0"/>
          <w:sz w:val="32"/>
          <w:szCs w:val="32"/>
          <w:lang w:val="en-US" w:eastAsia="zh-CN"/>
        </w:rPr>
      </w:pPr>
    </w:p>
    <w:p>
      <w:pPr>
        <w:pStyle w:val="2"/>
        <w:rPr>
          <w:rFonts w:hint="eastAsia" w:ascii="黑体" w:hAnsi="黑体" w:eastAsia="黑体" w:cs="黑体"/>
          <w:kern w:val="0"/>
          <w:sz w:val="32"/>
          <w:szCs w:val="32"/>
          <w:lang w:val="en-US" w:eastAsia="zh-CN"/>
        </w:rPr>
      </w:pPr>
    </w:p>
    <w:p>
      <w:pPr>
        <w:rPr>
          <w:rFonts w:hint="eastAsia" w:ascii="黑体" w:hAnsi="黑体" w:eastAsia="黑体" w:cs="黑体"/>
          <w:kern w:val="0"/>
          <w:sz w:val="32"/>
          <w:szCs w:val="32"/>
          <w:lang w:val="en-US" w:eastAsia="zh-CN"/>
        </w:rPr>
      </w:pPr>
    </w:p>
    <w:p>
      <w:pPr>
        <w:pStyle w:val="2"/>
        <w:rPr>
          <w:rFonts w:hint="eastAsia"/>
          <w:lang w:val="en-US" w:eastAsia="zh-CN"/>
        </w:rPr>
      </w:pPr>
    </w:p>
    <w:p>
      <w:pPr>
        <w:rPr>
          <w:rFonts w:hint="eastAsia" w:ascii="黑体" w:hAnsi="黑体" w:eastAsia="黑体" w:cs="黑体"/>
          <w:kern w:val="0"/>
          <w:sz w:val="32"/>
          <w:szCs w:val="32"/>
          <w:lang w:val="en-US" w:eastAsia="zh-CN"/>
        </w:rPr>
      </w:pPr>
    </w:p>
    <w:p>
      <w:pPr>
        <w:pStyle w:val="5"/>
        <w:numPr>
          <w:ilvl w:val="0"/>
          <w:numId w:val="0"/>
        </w:numPr>
        <w:spacing w:line="592" w:lineRule="exact"/>
        <w:rPr>
          <w:rFonts w:hint="default" w:ascii="Times New Roman" w:hAnsi="Times New Roman"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32"/>
          <w:szCs w:val="32"/>
          <w:lang w:val="en-US" w:eastAsia="zh-CN"/>
          <w14:textFill>
            <w14:solidFill>
              <w14:schemeClr w14:val="tx1"/>
            </w14:solidFill>
          </w14:textFill>
        </w:rPr>
        <w:t>附件4：</w:t>
      </w:r>
    </w:p>
    <w:p>
      <w:pPr>
        <w:spacing w:line="560" w:lineRule="exact"/>
        <w:jc w:val="center"/>
        <w:outlineLvl w:val="0"/>
        <w:rPr>
          <w:rFonts w:ascii="黑体" w:hAnsi="黑体" w:eastAsia="黑体" w:cs="黑体"/>
          <w:b/>
          <w:bCs/>
          <w:sz w:val="36"/>
          <w:szCs w:val="36"/>
        </w:rPr>
      </w:pPr>
      <w:r>
        <w:rPr>
          <w:rFonts w:hint="eastAsia" w:ascii="黑体" w:hAnsi="黑体" w:eastAsia="黑体" w:cs="黑体"/>
          <w:b/>
          <w:bCs/>
          <w:sz w:val="36"/>
          <w:szCs w:val="36"/>
          <w:lang w:val="en-US" w:eastAsia="zh-CN"/>
        </w:rPr>
        <w:t>长沙</w:t>
      </w:r>
      <w:r>
        <w:rPr>
          <w:rFonts w:hint="eastAsia" w:ascii="黑体" w:hAnsi="黑体" w:eastAsia="黑体" w:cs="黑体"/>
          <w:b/>
          <w:bCs/>
          <w:sz w:val="36"/>
          <w:szCs w:val="36"/>
          <w:lang w:eastAsia="zh-CN"/>
        </w:rPr>
        <w:t>市</w:t>
      </w:r>
      <w:r>
        <w:rPr>
          <w:rFonts w:hint="eastAsia" w:ascii="黑体" w:hAnsi="黑体" w:eastAsia="黑体" w:cs="黑体"/>
          <w:b/>
          <w:bCs/>
          <w:sz w:val="36"/>
          <w:szCs w:val="36"/>
        </w:rPr>
        <w:t>医疗保障信用异议信息处理申请表</w:t>
      </w:r>
    </w:p>
    <w:tbl>
      <w:tblPr>
        <w:tblStyle w:val="8"/>
        <w:tblW w:w="8774" w:type="dxa"/>
        <w:jc w:val="center"/>
        <w:shd w:val="clear" w:color="auto" w:fill="FFFFFF"/>
        <w:tblLayout w:type="fixed"/>
        <w:tblCellMar>
          <w:top w:w="0" w:type="dxa"/>
          <w:left w:w="0" w:type="dxa"/>
          <w:bottom w:w="0" w:type="dxa"/>
          <w:right w:w="0" w:type="dxa"/>
        </w:tblCellMar>
      </w:tblPr>
      <w:tblGrid>
        <w:gridCol w:w="1903"/>
        <w:gridCol w:w="1850"/>
        <w:gridCol w:w="1110"/>
        <w:gridCol w:w="3911"/>
      </w:tblGrid>
      <w:tr>
        <w:tblPrEx>
          <w:tblCellMar>
            <w:top w:w="0" w:type="dxa"/>
            <w:left w:w="0" w:type="dxa"/>
            <w:bottom w:w="0" w:type="dxa"/>
            <w:right w:w="0" w:type="dxa"/>
          </w:tblCellMar>
        </w:tblPrEx>
        <w:trPr>
          <w:trHeight w:val="770" w:hRule="atLeast"/>
          <w:jc w:val="center"/>
        </w:trPr>
        <w:tc>
          <w:tcPr>
            <w:tcW w:w="1903" w:type="dxa"/>
            <w:tcBorders>
              <w:top w:val="single" w:color="auto" w:sz="4" w:space="0"/>
              <w:left w:val="single" w:color="auto" w:sz="4" w:space="0"/>
              <w:bottom w:val="single" w:color="auto" w:sz="4" w:space="0"/>
              <w:right w:val="single" w:color="auto" w:sz="8" w:space="0"/>
            </w:tcBorders>
            <w:shd w:val="clear" w:color="auto" w:fill="FFFFFF"/>
            <w:vAlign w:val="center"/>
          </w:tcPr>
          <w:p>
            <w:pPr>
              <w:widowControl/>
              <w:spacing w:line="336" w:lineRule="atLeas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申请单位（人）</w:t>
            </w:r>
          </w:p>
        </w:tc>
        <w:tc>
          <w:tcPr>
            <w:tcW w:w="6871" w:type="dxa"/>
            <w:gridSpan w:val="3"/>
            <w:tcBorders>
              <w:top w:val="single" w:color="auto" w:sz="4" w:space="0"/>
              <w:left w:val="nil"/>
              <w:bottom w:val="single" w:color="auto" w:sz="4" w:space="0"/>
              <w:right w:val="single" w:color="auto" w:sz="4" w:space="0"/>
            </w:tcBorders>
            <w:shd w:val="clear" w:color="auto" w:fill="FFFFFF"/>
            <w:vAlign w:val="center"/>
          </w:tcPr>
          <w:p>
            <w:pPr>
              <w:widowControl/>
              <w:spacing w:line="336" w:lineRule="atLeast"/>
              <w:jc w:val="center"/>
              <w:rPr>
                <w:rFonts w:ascii="宋体" w:hAnsi="宋体" w:eastAsia="宋体" w:cs="宋体"/>
                <w:kern w:val="0"/>
                <w:sz w:val="24"/>
                <w:szCs w:val="24"/>
              </w:rPr>
            </w:pPr>
          </w:p>
        </w:tc>
      </w:tr>
      <w:tr>
        <w:tblPrEx>
          <w:shd w:val="clear" w:color="auto" w:fill="FFFFFF"/>
          <w:tblCellMar>
            <w:top w:w="0" w:type="dxa"/>
            <w:left w:w="0" w:type="dxa"/>
            <w:bottom w:w="0" w:type="dxa"/>
            <w:right w:w="0" w:type="dxa"/>
          </w:tblCellMar>
        </w:tblPrEx>
        <w:trPr>
          <w:trHeight w:val="770" w:hRule="atLeast"/>
          <w:jc w:val="center"/>
        </w:trPr>
        <w:tc>
          <w:tcPr>
            <w:tcW w:w="1903" w:type="dxa"/>
            <w:tcBorders>
              <w:top w:val="single" w:color="auto" w:sz="4" w:space="0"/>
              <w:left w:val="single" w:color="auto" w:sz="8" w:space="0"/>
              <w:bottom w:val="single" w:color="auto" w:sz="8" w:space="0"/>
              <w:right w:val="single" w:color="auto" w:sz="8" w:space="0"/>
            </w:tcBorders>
            <w:shd w:val="clear" w:color="auto" w:fill="FFFFFF"/>
            <w:vAlign w:val="center"/>
          </w:tcPr>
          <w:p>
            <w:pPr>
              <w:widowControl/>
              <w:spacing w:line="336"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联系人</w:t>
            </w:r>
          </w:p>
        </w:tc>
        <w:tc>
          <w:tcPr>
            <w:tcW w:w="1850" w:type="dxa"/>
            <w:tcBorders>
              <w:top w:val="single" w:color="auto" w:sz="4" w:space="0"/>
              <w:left w:val="nil"/>
              <w:bottom w:val="single" w:color="auto" w:sz="8" w:space="0"/>
              <w:right w:val="single" w:color="auto" w:sz="8" w:space="0"/>
            </w:tcBorders>
            <w:shd w:val="clear" w:color="auto" w:fill="FFFFFF"/>
            <w:vAlign w:val="center"/>
          </w:tcPr>
          <w:p>
            <w:pPr>
              <w:widowControl/>
              <w:spacing w:line="336" w:lineRule="atLeast"/>
              <w:jc w:val="center"/>
              <w:rPr>
                <w:rFonts w:ascii="宋体" w:hAnsi="宋体" w:eastAsia="宋体" w:cs="宋体"/>
                <w:kern w:val="0"/>
                <w:sz w:val="24"/>
                <w:szCs w:val="24"/>
              </w:rPr>
            </w:pPr>
          </w:p>
        </w:tc>
        <w:tc>
          <w:tcPr>
            <w:tcW w:w="1110" w:type="dxa"/>
            <w:tcBorders>
              <w:top w:val="single" w:color="auto" w:sz="4" w:space="0"/>
              <w:left w:val="nil"/>
              <w:bottom w:val="single" w:color="auto" w:sz="8" w:space="0"/>
              <w:right w:val="single" w:color="auto" w:sz="8" w:space="0"/>
            </w:tcBorders>
            <w:shd w:val="clear" w:color="auto" w:fill="FFFFFF"/>
            <w:vAlign w:val="center"/>
          </w:tcPr>
          <w:p>
            <w:pPr>
              <w:widowControl/>
              <w:spacing w:line="336" w:lineRule="atLeast"/>
              <w:jc w:val="center"/>
              <w:rPr>
                <w:rFonts w:ascii="宋体" w:hAnsi="宋体" w:eastAsia="宋体" w:cs="宋体"/>
                <w:kern w:val="0"/>
                <w:sz w:val="24"/>
                <w:szCs w:val="24"/>
              </w:rPr>
            </w:pPr>
            <w:r>
              <w:rPr>
                <w:rFonts w:hint="eastAsia" w:ascii="宋体" w:hAnsi="宋体" w:eastAsia="宋体" w:cs="宋体"/>
                <w:kern w:val="0"/>
                <w:sz w:val="24"/>
                <w:szCs w:val="24"/>
              </w:rPr>
              <w:t>联系方式</w:t>
            </w:r>
          </w:p>
        </w:tc>
        <w:tc>
          <w:tcPr>
            <w:tcW w:w="3911" w:type="dxa"/>
            <w:tcBorders>
              <w:top w:val="single" w:color="auto" w:sz="4" w:space="0"/>
              <w:left w:val="nil"/>
              <w:bottom w:val="single" w:color="auto" w:sz="8" w:space="0"/>
              <w:right w:val="single" w:color="auto" w:sz="8" w:space="0"/>
            </w:tcBorders>
            <w:shd w:val="clear" w:color="auto" w:fill="FFFFFF"/>
            <w:vAlign w:val="center"/>
          </w:tcPr>
          <w:p>
            <w:pPr>
              <w:widowControl/>
              <w:spacing w:line="336" w:lineRule="atLeast"/>
              <w:jc w:val="center"/>
              <w:rPr>
                <w:rFonts w:ascii="宋体" w:hAnsi="宋体" w:eastAsia="宋体" w:cs="宋体"/>
                <w:kern w:val="0"/>
                <w:sz w:val="24"/>
                <w:szCs w:val="24"/>
              </w:rPr>
            </w:pPr>
          </w:p>
        </w:tc>
      </w:tr>
      <w:tr>
        <w:tblPrEx>
          <w:shd w:val="clear" w:color="auto" w:fill="FFFFFF"/>
          <w:tblCellMar>
            <w:top w:w="0" w:type="dxa"/>
            <w:left w:w="0" w:type="dxa"/>
            <w:bottom w:w="0" w:type="dxa"/>
            <w:right w:w="0" w:type="dxa"/>
          </w:tblCellMar>
        </w:tblPrEx>
        <w:trPr>
          <w:trHeight w:val="1372" w:hRule="atLeast"/>
          <w:jc w:val="center"/>
        </w:trPr>
        <w:tc>
          <w:tcPr>
            <w:tcW w:w="1903" w:type="dxa"/>
            <w:tcBorders>
              <w:top w:val="nil"/>
              <w:left w:val="single" w:color="auto" w:sz="8" w:space="0"/>
              <w:bottom w:val="single" w:color="auto" w:sz="8" w:space="0"/>
              <w:right w:val="single" w:color="auto" w:sz="8" w:space="0"/>
            </w:tcBorders>
            <w:shd w:val="clear" w:color="auto" w:fill="FFFFFF"/>
            <w:vAlign w:val="center"/>
          </w:tcPr>
          <w:p>
            <w:pPr>
              <w:widowControl/>
              <w:spacing w:line="336" w:lineRule="atLeast"/>
              <w:jc w:val="center"/>
              <w:rPr>
                <w:rFonts w:ascii="宋体" w:hAnsi="宋体" w:eastAsia="宋体" w:cs="宋体"/>
                <w:kern w:val="0"/>
                <w:sz w:val="24"/>
                <w:szCs w:val="24"/>
              </w:rPr>
            </w:pPr>
            <w:r>
              <w:rPr>
                <w:rFonts w:hint="eastAsia" w:ascii="宋体" w:hAnsi="宋体" w:eastAsia="宋体" w:cs="宋体"/>
                <w:kern w:val="0"/>
                <w:sz w:val="24"/>
                <w:szCs w:val="24"/>
              </w:rPr>
              <w:t>异议信息描述</w:t>
            </w:r>
          </w:p>
        </w:tc>
        <w:tc>
          <w:tcPr>
            <w:tcW w:w="6871" w:type="dxa"/>
            <w:gridSpan w:val="3"/>
            <w:tcBorders>
              <w:top w:val="single" w:color="auto" w:sz="8" w:space="0"/>
              <w:left w:val="nil"/>
              <w:bottom w:val="single" w:color="auto" w:sz="8" w:space="0"/>
              <w:right w:val="single" w:color="000000" w:sz="6" w:space="0"/>
            </w:tcBorders>
            <w:shd w:val="clear" w:color="auto" w:fill="FFFFFF"/>
            <w:vAlign w:val="center"/>
          </w:tcPr>
          <w:p>
            <w:pPr>
              <w:widowControl/>
              <w:spacing w:line="336" w:lineRule="atLeast"/>
              <w:jc w:val="center"/>
              <w:rPr>
                <w:rFonts w:ascii="宋体" w:hAnsi="宋体" w:eastAsia="宋体" w:cs="宋体"/>
                <w:kern w:val="0"/>
                <w:sz w:val="24"/>
                <w:szCs w:val="24"/>
              </w:rPr>
            </w:pPr>
          </w:p>
        </w:tc>
      </w:tr>
      <w:tr>
        <w:tblPrEx>
          <w:shd w:val="clear" w:color="auto" w:fill="FFFFFF"/>
          <w:tblCellMar>
            <w:top w:w="0" w:type="dxa"/>
            <w:left w:w="0" w:type="dxa"/>
            <w:bottom w:w="0" w:type="dxa"/>
            <w:right w:w="0" w:type="dxa"/>
          </w:tblCellMar>
        </w:tblPrEx>
        <w:trPr>
          <w:trHeight w:val="820" w:hRule="atLeast"/>
          <w:jc w:val="center"/>
        </w:trPr>
        <w:tc>
          <w:tcPr>
            <w:tcW w:w="1903" w:type="dxa"/>
            <w:tcBorders>
              <w:top w:val="nil"/>
              <w:left w:val="single" w:color="auto" w:sz="8" w:space="0"/>
              <w:bottom w:val="single" w:color="auto" w:sz="8" w:space="0"/>
              <w:right w:val="single" w:color="auto" w:sz="8" w:space="0"/>
            </w:tcBorders>
            <w:shd w:val="clear" w:color="auto" w:fill="FFFFFF"/>
            <w:vAlign w:val="center"/>
          </w:tcPr>
          <w:p>
            <w:pPr>
              <w:widowControl/>
              <w:spacing w:line="336"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申请理由</w:t>
            </w:r>
          </w:p>
          <w:p>
            <w:pPr>
              <w:widowControl/>
              <w:spacing w:line="336" w:lineRule="atLeast"/>
              <w:jc w:val="center"/>
              <w:rPr>
                <w:rFonts w:hint="default"/>
                <w:lang w:val="en-US" w:eastAsia="zh-CN"/>
              </w:rPr>
            </w:pPr>
            <w:r>
              <w:rPr>
                <w:rFonts w:hint="eastAsia" w:ascii="宋体" w:hAnsi="宋体" w:eastAsia="宋体" w:cs="宋体"/>
                <w:kern w:val="0"/>
                <w:sz w:val="24"/>
                <w:szCs w:val="24"/>
                <w:lang w:val="en-US" w:eastAsia="zh-CN"/>
              </w:rPr>
              <w:t>（可附页）</w:t>
            </w:r>
          </w:p>
        </w:tc>
        <w:tc>
          <w:tcPr>
            <w:tcW w:w="6871" w:type="dxa"/>
            <w:gridSpan w:val="3"/>
            <w:tcBorders>
              <w:top w:val="single" w:color="auto" w:sz="8" w:space="0"/>
              <w:left w:val="nil"/>
              <w:bottom w:val="single" w:color="auto" w:sz="8" w:space="0"/>
              <w:right w:val="single" w:color="000000" w:sz="6" w:space="0"/>
            </w:tcBorders>
            <w:shd w:val="clear" w:color="auto" w:fill="FFFFFF"/>
            <w:vAlign w:val="center"/>
          </w:tcPr>
          <w:p>
            <w:pPr>
              <w:widowControl/>
              <w:spacing w:line="336" w:lineRule="atLeast"/>
              <w:jc w:val="center"/>
              <w:rPr>
                <w:rFonts w:hint="eastAsia" w:ascii="宋体" w:hAnsi="宋体" w:eastAsia="宋体" w:cs="宋体"/>
                <w:kern w:val="0"/>
                <w:sz w:val="24"/>
                <w:szCs w:val="24"/>
                <w:lang w:val="en-US" w:eastAsia="zh-CN"/>
              </w:rPr>
            </w:pPr>
          </w:p>
          <w:p>
            <w:pPr>
              <w:widowControl/>
              <w:spacing w:line="336"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年   月   日</w:t>
            </w:r>
          </w:p>
          <w:p>
            <w:pPr>
              <w:widowControl/>
              <w:spacing w:line="336"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（盖章）</w:t>
            </w:r>
          </w:p>
        </w:tc>
      </w:tr>
      <w:tr>
        <w:tblPrEx>
          <w:shd w:val="clear" w:color="auto" w:fill="FFFFFF"/>
          <w:tblCellMar>
            <w:top w:w="0" w:type="dxa"/>
            <w:left w:w="0" w:type="dxa"/>
            <w:bottom w:w="0" w:type="dxa"/>
            <w:right w:w="0" w:type="dxa"/>
          </w:tblCellMar>
        </w:tblPrEx>
        <w:trPr>
          <w:trHeight w:val="1684" w:hRule="atLeast"/>
          <w:jc w:val="center"/>
        </w:trPr>
        <w:tc>
          <w:tcPr>
            <w:tcW w:w="1903" w:type="dxa"/>
            <w:tcBorders>
              <w:top w:val="nil"/>
              <w:left w:val="single" w:color="auto" w:sz="8" w:space="0"/>
              <w:bottom w:val="single" w:color="auto" w:sz="4" w:space="0"/>
              <w:right w:val="single" w:color="auto" w:sz="4" w:space="0"/>
            </w:tcBorders>
            <w:shd w:val="clear" w:color="auto" w:fill="FFFFFF"/>
            <w:vAlign w:val="center"/>
          </w:tcPr>
          <w:p>
            <w:pPr>
              <w:widowControl/>
              <w:spacing w:line="336"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医保局承办部门</w:t>
            </w:r>
          </w:p>
          <w:p>
            <w:pPr>
              <w:widowControl/>
              <w:spacing w:line="336"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意见</w:t>
            </w:r>
          </w:p>
        </w:tc>
        <w:tc>
          <w:tcPr>
            <w:tcW w:w="687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810" w:type="dxa"/>
              <w:bottom w:w="0" w:type="dxa"/>
              <w:right w:w="0" w:type="dxa"/>
            </w:tcMar>
            <w:vAlign w:val="center"/>
          </w:tcPr>
          <w:p>
            <w:pPr>
              <w:widowControl/>
              <w:spacing w:line="336" w:lineRule="atLeast"/>
              <w:jc w:val="left"/>
              <w:rPr>
                <w:rFonts w:ascii="宋体" w:hAnsi="宋体" w:eastAsia="宋体" w:cs="宋体"/>
                <w:kern w:val="0"/>
                <w:sz w:val="24"/>
                <w:szCs w:val="24"/>
              </w:rPr>
            </w:pPr>
          </w:p>
        </w:tc>
      </w:tr>
      <w:tr>
        <w:tblPrEx>
          <w:shd w:val="clear" w:color="auto" w:fill="FFFFFF"/>
          <w:tblCellMar>
            <w:top w:w="0" w:type="dxa"/>
            <w:left w:w="0" w:type="dxa"/>
            <w:bottom w:w="0" w:type="dxa"/>
            <w:right w:w="0" w:type="dxa"/>
          </w:tblCellMar>
        </w:tblPrEx>
        <w:trPr>
          <w:trHeight w:val="1674" w:hRule="atLeast"/>
          <w:jc w:val="center"/>
        </w:trPr>
        <w:tc>
          <w:tcPr>
            <w:tcW w:w="1903" w:type="dxa"/>
            <w:tcBorders>
              <w:top w:val="nil"/>
              <w:left w:val="single" w:color="auto" w:sz="8" w:space="0"/>
              <w:bottom w:val="single" w:color="auto" w:sz="4" w:space="0"/>
              <w:right w:val="single" w:color="auto" w:sz="4" w:space="0"/>
            </w:tcBorders>
            <w:shd w:val="clear" w:color="auto" w:fill="FFFFFF"/>
            <w:vAlign w:val="center"/>
          </w:tcPr>
          <w:p>
            <w:pPr>
              <w:widowControl/>
              <w:spacing w:line="336"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主管领导意见</w:t>
            </w:r>
          </w:p>
        </w:tc>
        <w:tc>
          <w:tcPr>
            <w:tcW w:w="687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810" w:type="dxa"/>
              <w:bottom w:w="0" w:type="dxa"/>
              <w:right w:w="0" w:type="dxa"/>
            </w:tcMar>
            <w:vAlign w:val="center"/>
          </w:tcPr>
          <w:p>
            <w:pPr>
              <w:widowControl/>
              <w:spacing w:line="336" w:lineRule="atLeast"/>
              <w:ind w:firstLine="2880" w:firstLineChars="1200"/>
              <w:jc w:val="left"/>
              <w:rPr>
                <w:rFonts w:ascii="宋体" w:hAnsi="宋体" w:eastAsia="宋体" w:cs="宋体"/>
                <w:kern w:val="0"/>
                <w:sz w:val="24"/>
                <w:szCs w:val="24"/>
              </w:rPr>
            </w:pPr>
          </w:p>
        </w:tc>
      </w:tr>
      <w:tr>
        <w:tblPrEx>
          <w:shd w:val="clear" w:color="auto" w:fill="FFFFFF"/>
          <w:tblCellMar>
            <w:top w:w="0" w:type="dxa"/>
            <w:left w:w="0" w:type="dxa"/>
            <w:bottom w:w="0" w:type="dxa"/>
            <w:right w:w="0" w:type="dxa"/>
          </w:tblCellMar>
        </w:tblPrEx>
        <w:trPr>
          <w:trHeight w:val="2843" w:hRule="atLeast"/>
          <w:jc w:val="center"/>
        </w:trPr>
        <w:tc>
          <w:tcPr>
            <w:tcW w:w="19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36"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异议信息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处理结果</w:t>
            </w:r>
          </w:p>
        </w:tc>
        <w:tc>
          <w:tcPr>
            <w:tcW w:w="687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810" w:type="dxa"/>
              <w:bottom w:w="0" w:type="dxa"/>
              <w:right w:w="0" w:type="dxa"/>
            </w:tcMar>
            <w:vAlign w:val="center"/>
          </w:tcPr>
          <w:p>
            <w:pPr>
              <w:rPr>
                <w:rFonts w:hint="eastAsia"/>
              </w:rPr>
            </w:pPr>
          </w:p>
          <w:p>
            <w:pPr>
              <w:widowControl/>
              <w:spacing w:line="336" w:lineRule="atLeast"/>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XX医疗保障局</w:t>
            </w:r>
            <w:r>
              <w:rPr>
                <w:rFonts w:hint="eastAsia" w:ascii="宋体" w:hAnsi="宋体" w:eastAsia="宋体" w:cs="宋体"/>
                <w:kern w:val="0"/>
                <w:sz w:val="24"/>
                <w:szCs w:val="24"/>
              </w:rPr>
              <w:t> </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w:t>
            </w:r>
          </w:p>
          <w:p>
            <w:pPr>
              <w:widowControl/>
              <w:spacing w:line="336" w:lineRule="atLeast"/>
              <w:jc w:val="right"/>
              <w:rPr>
                <w:rFonts w:hint="eastAsia" w:ascii="宋体" w:hAnsi="宋体" w:eastAsia="宋体" w:cs="宋体"/>
                <w:kern w:val="0"/>
                <w:sz w:val="24"/>
                <w:szCs w:val="24"/>
              </w:rPr>
            </w:pPr>
            <w:r>
              <w:rPr>
                <w:rFonts w:hint="eastAsia" w:ascii="宋体" w:hAnsi="宋体" w:cs="宋体"/>
                <w:kern w:val="0"/>
                <w:sz w:val="24"/>
                <w:szCs w:val="24"/>
              </w:rPr>
              <w:t xml:space="preserve"> </w:t>
            </w:r>
            <w:r>
              <w:rPr>
                <w:rFonts w:hint="eastAsia" w:ascii="宋体" w:hAnsi="宋体" w:eastAsia="宋体" w:cs="宋体"/>
                <w:kern w:val="0"/>
                <w:sz w:val="24"/>
                <w:szCs w:val="24"/>
              </w:rPr>
              <w:t>年  月  日  （盖章）</w:t>
            </w:r>
          </w:p>
        </w:tc>
      </w:tr>
      <w:tr>
        <w:tblPrEx>
          <w:shd w:val="clear" w:color="auto" w:fill="FFFFFF"/>
          <w:tblCellMar>
            <w:top w:w="0" w:type="dxa"/>
            <w:left w:w="0" w:type="dxa"/>
            <w:bottom w:w="0" w:type="dxa"/>
            <w:right w:w="0" w:type="dxa"/>
          </w:tblCellMar>
        </w:tblPrEx>
        <w:trPr>
          <w:trHeight w:val="885" w:hRule="atLeast"/>
          <w:jc w:val="center"/>
        </w:trPr>
        <w:tc>
          <w:tcPr>
            <w:tcW w:w="19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36" w:lineRule="atLeas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备注</w:t>
            </w:r>
          </w:p>
        </w:tc>
        <w:tc>
          <w:tcPr>
            <w:tcW w:w="6871"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810" w:type="dxa"/>
              <w:bottom w:w="0" w:type="dxa"/>
              <w:right w:w="0" w:type="dxa"/>
            </w:tcMar>
            <w:vAlign w:val="center"/>
          </w:tcPr>
          <w:p>
            <w:pPr>
              <w:widowControl/>
              <w:spacing w:line="336" w:lineRule="atLeast"/>
              <w:jc w:val="right"/>
              <w:rPr>
                <w:rFonts w:hint="eastAsia" w:ascii="宋体" w:hAnsi="宋体" w:eastAsia="宋体" w:cs="宋体"/>
                <w:kern w:val="0"/>
                <w:sz w:val="24"/>
                <w:szCs w:val="24"/>
                <w:lang w:val="en-US" w:eastAsia="zh-CN"/>
              </w:rPr>
            </w:pPr>
          </w:p>
        </w:tc>
      </w:tr>
    </w:tbl>
    <w:p>
      <w:pPr>
        <w:pStyle w:val="5"/>
        <w:numPr>
          <w:ilvl w:val="0"/>
          <w:numId w:val="0"/>
        </w:numPr>
        <w:spacing w:line="592" w:lineRule="exact"/>
        <w:rPr>
          <w:rFonts w:hint="default" w:ascii="Times New Roman" w:hAnsi="Times New Roman"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32"/>
          <w:szCs w:val="32"/>
          <w:lang w:val="en-US" w:eastAsia="zh-CN"/>
          <w14:textFill>
            <w14:solidFill>
              <w14:schemeClr w14:val="tx1"/>
            </w14:solidFill>
          </w14:textFill>
        </w:rPr>
        <w:t>附件5：</w:t>
      </w:r>
    </w:p>
    <w:p>
      <w:pPr>
        <w:spacing w:line="560" w:lineRule="exact"/>
        <w:jc w:val="center"/>
        <w:outlineLvl w:val="0"/>
        <w:rPr>
          <w:rFonts w:hint="eastAsia" w:ascii="黑体" w:hAnsi="黑体" w:eastAsia="黑体" w:cs="黑体"/>
          <w:b/>
          <w:bCs/>
          <w:sz w:val="36"/>
          <w:szCs w:val="36"/>
          <w:lang w:eastAsia="zh-CN"/>
        </w:rPr>
      </w:pPr>
      <w:r>
        <w:rPr>
          <w:rFonts w:hint="eastAsia" w:ascii="黑体" w:hAnsi="黑体" w:eastAsia="黑体" w:cs="黑体"/>
          <w:b/>
          <w:bCs/>
          <w:sz w:val="36"/>
          <w:szCs w:val="36"/>
          <w:lang w:val="en-US" w:eastAsia="zh-CN"/>
        </w:rPr>
        <w:t>长沙市医疗保障</w:t>
      </w:r>
      <w:r>
        <w:rPr>
          <w:rFonts w:hint="eastAsia" w:ascii="黑体" w:hAnsi="黑体" w:eastAsia="黑体" w:cs="黑体"/>
          <w:b/>
          <w:bCs/>
          <w:sz w:val="36"/>
          <w:szCs w:val="36"/>
          <w:lang w:eastAsia="zh-CN"/>
        </w:rPr>
        <w:t>信用修复申请表</w:t>
      </w:r>
    </w:p>
    <w:p>
      <w:pPr>
        <w:pStyle w:val="6"/>
        <w:rPr>
          <w:rFonts w:hint="eastAsia"/>
          <w:lang w:eastAsia="zh-CN"/>
        </w:rPr>
      </w:pPr>
    </w:p>
    <w:tbl>
      <w:tblPr>
        <w:tblStyle w:val="9"/>
        <w:tblW w:w="8988" w:type="dxa"/>
        <w:tblInd w:w="-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0"/>
        <w:gridCol w:w="2244"/>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220" w:type="dxa"/>
            <w:vMerge w:val="restart"/>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val="0"/>
                <w:bCs w:val="0"/>
                <w:kern w:val="0"/>
                <w:sz w:val="24"/>
                <w:szCs w:val="24"/>
                <w:lang w:val="en-US" w:eastAsia="zh-CN"/>
              </w:rPr>
              <w:t>失信主体基本情况</w:t>
            </w:r>
          </w:p>
        </w:tc>
        <w:tc>
          <w:tcPr>
            <w:tcW w:w="2244"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val="0"/>
                <w:bCs w:val="0"/>
                <w:kern w:val="0"/>
                <w:sz w:val="24"/>
                <w:szCs w:val="24"/>
                <w:lang w:val="en-US" w:eastAsia="zh-CN"/>
              </w:rPr>
              <w:t>名称</w:t>
            </w:r>
          </w:p>
        </w:tc>
        <w:tc>
          <w:tcPr>
            <w:tcW w:w="4524"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val="0"/>
                <w:bCs w:val="0"/>
                <w:kern w:val="0"/>
                <w:sz w:val="24"/>
                <w:szCs w:val="24"/>
                <w:lang w:val="en-US" w:eastAsia="zh-CN"/>
              </w:rPr>
              <w:t>（填写法人单位名称或自然人名称）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220" w:type="dxa"/>
            <w:vMerge w:val="continue"/>
          </w:tcPr>
          <w:p>
            <w:pPr>
              <w:rPr>
                <w:rFonts w:hint="eastAsia" w:asciiTheme="minorEastAsia" w:hAnsiTheme="minorEastAsia" w:eastAsiaTheme="minorEastAsia" w:cstheme="minorEastAsia"/>
                <w:sz w:val="24"/>
                <w:szCs w:val="24"/>
                <w:vertAlign w:val="baseline"/>
              </w:rPr>
            </w:pPr>
          </w:p>
        </w:tc>
        <w:tc>
          <w:tcPr>
            <w:tcW w:w="2244"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val="0"/>
                <w:bCs w:val="0"/>
                <w:kern w:val="0"/>
                <w:sz w:val="24"/>
                <w:szCs w:val="24"/>
                <w:lang w:val="en-US" w:eastAsia="zh-CN"/>
              </w:rPr>
              <w:t>统一社会信用代码</w:t>
            </w:r>
          </w:p>
        </w:tc>
        <w:tc>
          <w:tcPr>
            <w:tcW w:w="4524"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val="0"/>
                <w:bCs w:val="0"/>
                <w:kern w:val="0"/>
                <w:sz w:val="24"/>
                <w:szCs w:val="24"/>
                <w:lang w:val="en-US" w:eastAsia="zh-CN"/>
              </w:rPr>
              <w:t>（自然人填写身份证号）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220" w:type="dxa"/>
            <w:vMerge w:val="continue"/>
          </w:tcPr>
          <w:p>
            <w:pPr>
              <w:rPr>
                <w:rFonts w:hint="eastAsia" w:asciiTheme="minorEastAsia" w:hAnsiTheme="minorEastAsia" w:eastAsiaTheme="minorEastAsia" w:cstheme="minorEastAsia"/>
                <w:sz w:val="24"/>
                <w:szCs w:val="24"/>
                <w:vertAlign w:val="baseline"/>
              </w:rPr>
            </w:pPr>
          </w:p>
        </w:tc>
        <w:tc>
          <w:tcPr>
            <w:tcW w:w="2244"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val="0"/>
                <w:bCs w:val="0"/>
                <w:kern w:val="0"/>
                <w:sz w:val="24"/>
                <w:szCs w:val="24"/>
                <w:lang w:val="en-US" w:eastAsia="zh-CN"/>
              </w:rPr>
              <w:t>联系方式</w:t>
            </w:r>
          </w:p>
        </w:tc>
        <w:tc>
          <w:tcPr>
            <w:tcW w:w="4524" w:type="dxa"/>
          </w:tcPr>
          <w:p>
            <w:pP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2220" w:type="dxa"/>
            <w:vAlign w:val="center"/>
          </w:tcPr>
          <w:p>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申请修复的失信信息内容</w:t>
            </w:r>
          </w:p>
        </w:tc>
        <w:tc>
          <w:tcPr>
            <w:tcW w:w="2244" w:type="dxa"/>
            <w:vAlign w:val="center"/>
          </w:tcPr>
          <w:p>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失信信息内容描述</w:t>
            </w:r>
          </w:p>
        </w:tc>
        <w:tc>
          <w:tcPr>
            <w:tcW w:w="4524" w:type="dxa"/>
            <w:vAlign w:val="center"/>
          </w:tcPr>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val="0"/>
                <w:bCs w:val="0"/>
                <w:kern w:val="0"/>
                <w:sz w:val="24"/>
                <w:szCs w:val="24"/>
                <w:lang w:val="en-US" w:eastAsia="zh-CN"/>
              </w:rPr>
              <w:t>xxxx 年 xx 月 xx   日，因****行为被处以***罚款或者解除协议等（可提供页面打印件或复印件）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22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b w:val="0"/>
                <w:bCs w:val="0"/>
                <w:kern w:val="0"/>
                <w:sz w:val="24"/>
                <w:szCs w:val="24"/>
                <w:lang w:val="en-US" w:eastAsia="zh-CN"/>
              </w:rPr>
              <w:t>申请信用修复的理由</w:t>
            </w:r>
          </w:p>
        </w:tc>
        <w:tc>
          <w:tcPr>
            <w:tcW w:w="2244"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b w:val="0"/>
                <w:bCs w:val="0"/>
                <w:kern w:val="0"/>
                <w:sz w:val="24"/>
                <w:szCs w:val="24"/>
                <w:lang w:val="en-US" w:eastAsia="zh-CN"/>
              </w:rPr>
              <w:t>符合《长沙市医疗保障信用管理实施细则》</w:t>
            </w:r>
            <w:r>
              <w:rPr>
                <w:rFonts w:hint="eastAsia" w:asciiTheme="minorEastAsia" w:hAnsiTheme="minorEastAsia" w:cstheme="minorEastAsia"/>
                <w:b w:val="0"/>
                <w:bCs w:val="0"/>
                <w:kern w:val="0"/>
                <w:sz w:val="24"/>
                <w:szCs w:val="24"/>
                <w:lang w:val="en-US" w:eastAsia="zh-CN"/>
              </w:rPr>
              <w:t>规定</w:t>
            </w:r>
          </w:p>
        </w:tc>
        <w:tc>
          <w:tcPr>
            <w:tcW w:w="4524" w:type="dxa"/>
            <w:vAlign w:val="center"/>
          </w:tcPr>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b w:val="0"/>
                <w:bCs w:val="0"/>
                <w:kern w:val="0"/>
                <w:sz w:val="24"/>
                <w:szCs w:val="24"/>
                <w:lang w:val="en-US" w:eastAsia="zh-CN"/>
              </w:rPr>
              <w:t>第</w:t>
            </w:r>
            <w:r>
              <w:rPr>
                <w:rFonts w:hint="eastAsia" w:asciiTheme="minorEastAsia" w:hAnsiTheme="minorEastAsia" w:cstheme="minorEastAsia"/>
                <w:b w:val="0"/>
                <w:bCs w:val="0"/>
                <w:color w:val="auto"/>
                <w:kern w:val="0"/>
                <w:sz w:val="24"/>
                <w:szCs w:val="24"/>
                <w:lang w:val="en-US" w:eastAsia="zh-CN"/>
              </w:rPr>
              <w:t>二</w:t>
            </w:r>
            <w:r>
              <w:rPr>
                <w:rFonts w:hint="eastAsia" w:asciiTheme="minorEastAsia" w:hAnsiTheme="minorEastAsia" w:eastAsiaTheme="minorEastAsia" w:cstheme="minorEastAsia"/>
                <w:b w:val="0"/>
                <w:bCs w:val="0"/>
                <w:color w:val="auto"/>
                <w:kern w:val="0"/>
                <w:sz w:val="24"/>
                <w:szCs w:val="24"/>
                <w:lang w:val="en-US" w:eastAsia="zh-CN"/>
              </w:rPr>
              <w:t>十</w:t>
            </w:r>
            <w:r>
              <w:rPr>
                <w:rFonts w:hint="eastAsia" w:asciiTheme="minorEastAsia" w:hAnsiTheme="minorEastAsia" w:cstheme="minorEastAsia"/>
                <w:b w:val="0"/>
                <w:bCs w:val="0"/>
                <w:color w:val="auto"/>
                <w:kern w:val="0"/>
                <w:sz w:val="24"/>
                <w:szCs w:val="24"/>
                <w:lang w:val="en-US" w:eastAsia="zh-CN"/>
              </w:rPr>
              <w:t>六条</w:t>
            </w:r>
            <w:r>
              <w:rPr>
                <w:rFonts w:hint="eastAsia" w:asciiTheme="minorEastAsia" w:hAnsiTheme="minorEastAsia" w:eastAsiaTheme="minorEastAsia" w:cstheme="minorEastAsia"/>
                <w:b w:val="0"/>
                <w:bCs w:val="0"/>
                <w:color w:val="auto"/>
                <w:kern w:val="0"/>
                <w:sz w:val="24"/>
                <w:szCs w:val="24"/>
                <w:lang w:val="en-US" w:eastAsia="zh-CN"/>
              </w:rPr>
              <w:t>规定</w:t>
            </w:r>
            <w:r>
              <w:rPr>
                <w:rFonts w:hint="eastAsia" w:asciiTheme="minorEastAsia" w:hAnsiTheme="minorEastAsia" w:eastAsiaTheme="minorEastAsia" w:cstheme="minorEastAsia"/>
                <w:b w:val="0"/>
                <w:bCs w:val="0"/>
                <w:kern w:val="0"/>
                <w:sz w:val="24"/>
                <w:szCs w:val="24"/>
                <w:lang w:val="en-US" w:eastAsia="zh-CN"/>
              </w:rPr>
              <w:t>：符合□ 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8988" w:type="dxa"/>
            <w:gridSpan w:val="3"/>
            <w:vAlign w:val="center"/>
          </w:tcPr>
          <w:p>
            <w:pPr>
              <w:jc w:val="both"/>
              <w:rPr>
                <w:rFonts w:hint="eastAsia"/>
                <w:lang w:val="en-US" w:eastAsia="zh-CN"/>
              </w:rPr>
            </w:pPr>
            <w:r>
              <w:rPr>
                <w:rFonts w:hint="eastAsia" w:asciiTheme="minorEastAsia" w:hAnsiTheme="minorEastAsia" w:eastAsiaTheme="minorEastAsia" w:cstheme="minorEastAsia"/>
                <w:b w:val="0"/>
                <w:bCs w:val="0"/>
                <w:kern w:val="0"/>
                <w:sz w:val="24"/>
                <w:szCs w:val="24"/>
                <w:lang w:val="en-US" w:eastAsia="zh-CN"/>
              </w:rPr>
              <w:t>本单位（本人）声明，提交的材料真实有效。</w:t>
            </w:r>
          </w:p>
          <w:p>
            <w:pPr>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 xml:space="preserve">                                     法定代表人（自然人）签字：    （盖章）                                                    </w:t>
            </w:r>
          </w:p>
          <w:p>
            <w:pPr>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b w:val="0"/>
                <w:bCs w:val="0"/>
                <w:kern w:val="0"/>
                <w:sz w:val="24"/>
                <w:szCs w:val="24"/>
                <w:lang w:val="en-US" w:eastAsia="zh-CN"/>
              </w:rPr>
              <w:t xml:space="preserve">                                                </w:t>
            </w:r>
            <w:r>
              <w:rPr>
                <w:rFonts w:hint="eastAsia" w:asciiTheme="minorEastAsia" w:hAnsiTheme="minorEastAsia" w:eastAsiaTheme="minorEastAsia" w:cstheme="minorEastAsia"/>
                <w:b w:val="0"/>
                <w:bCs w:val="0"/>
                <w:kern w:val="0"/>
                <w:sz w:val="24"/>
                <w:szCs w:val="24"/>
                <w:lang w:val="en-US" w:eastAsia="zh-CN"/>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2220" w:type="dxa"/>
            <w:vAlign w:val="center"/>
          </w:tcPr>
          <w:p>
            <w:pPr>
              <w:widowControl/>
              <w:spacing w:line="336" w:lineRule="atLeas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医保局承办部门</w:t>
            </w:r>
          </w:p>
          <w:p>
            <w:pPr>
              <w:jc w:val="center"/>
              <w:rPr>
                <w:rFonts w:hint="eastAsia" w:asciiTheme="minorEastAsia" w:hAnsiTheme="minorEastAsia" w:eastAsiaTheme="minorEastAsia" w:cstheme="minorEastAsia"/>
                <w:b/>
                <w:bCs/>
                <w:kern w:val="0"/>
                <w:sz w:val="24"/>
                <w:szCs w:val="24"/>
                <w:lang w:val="en-US"/>
              </w:rPr>
            </w:pPr>
            <w:r>
              <w:rPr>
                <w:rFonts w:hint="eastAsia" w:ascii="宋体" w:hAnsi="宋体" w:eastAsia="宋体" w:cs="宋体"/>
                <w:kern w:val="0"/>
                <w:sz w:val="24"/>
                <w:szCs w:val="24"/>
                <w:lang w:eastAsia="zh-CN"/>
              </w:rPr>
              <w:t>意见</w:t>
            </w:r>
          </w:p>
        </w:tc>
        <w:tc>
          <w:tcPr>
            <w:tcW w:w="6768" w:type="dxa"/>
            <w:gridSpan w:val="2"/>
            <w:vAlign w:val="center"/>
          </w:tcPr>
          <w:p>
            <w:pPr>
              <w:jc w:val="both"/>
              <w:rPr>
                <w:rFonts w:hint="eastAsia" w:asciiTheme="minorEastAsia" w:hAnsiTheme="minorEastAsia" w:eastAsiaTheme="minorEastAsia" w:cstheme="minorEastAsia"/>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2220" w:type="dxa"/>
            <w:vAlign w:val="center"/>
          </w:tcPr>
          <w:p>
            <w:pPr>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主管领导意见</w:t>
            </w:r>
          </w:p>
        </w:tc>
        <w:tc>
          <w:tcPr>
            <w:tcW w:w="6768" w:type="dxa"/>
            <w:gridSpan w:val="2"/>
            <w:vAlign w:val="center"/>
          </w:tcPr>
          <w:p>
            <w:pPr>
              <w:jc w:val="both"/>
              <w:rPr>
                <w:rFonts w:hint="eastAsia" w:asciiTheme="minorEastAsia" w:hAnsiTheme="minorEastAsia" w:eastAsiaTheme="minorEastAsia" w:cstheme="minorEastAsia"/>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20" w:type="dxa"/>
            <w:vAlign w:val="center"/>
          </w:tcPr>
          <w:p>
            <w:pPr>
              <w:jc w:val="center"/>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修复处理</w:t>
            </w:r>
            <w:r>
              <w:rPr>
                <w:rFonts w:hint="eastAsia" w:asciiTheme="minorEastAsia" w:hAnsiTheme="minorEastAsia" w:cstheme="minorEastAsia"/>
                <w:b w:val="0"/>
                <w:bCs w:val="0"/>
                <w:kern w:val="0"/>
                <w:sz w:val="24"/>
                <w:szCs w:val="24"/>
                <w:lang w:val="en-US" w:eastAsia="zh-CN"/>
              </w:rPr>
              <w:t>结果</w:t>
            </w:r>
          </w:p>
        </w:tc>
        <w:tc>
          <w:tcPr>
            <w:tcW w:w="6768" w:type="dxa"/>
            <w:gridSpan w:val="2"/>
            <w:vAlign w:val="center"/>
          </w:tcPr>
          <w:p>
            <w:pPr>
              <w:numPr>
                <w:ilvl w:val="0"/>
                <w:numId w:val="0"/>
              </w:numPr>
              <w:jc w:val="center"/>
              <w:rPr>
                <w:rFonts w:hint="eastAsia"/>
                <w:lang w:val="en-US" w:eastAsia="zh-CN"/>
              </w:rPr>
            </w:pPr>
            <w:r>
              <w:rPr>
                <w:rFonts w:hint="eastAsia" w:asciiTheme="minorEastAsia" w:hAnsiTheme="minorEastAsia" w:eastAsiaTheme="minorEastAsia" w:cstheme="minorEastAsia"/>
                <w:kern w:val="0"/>
                <w:sz w:val="24"/>
                <w:szCs w:val="24"/>
                <w:lang w:val="en-US" w:eastAsia="zh-CN"/>
              </w:rPr>
              <w:t>予以修复</w:t>
            </w:r>
            <w:r>
              <w:rPr>
                <w:rFonts w:hint="eastAsia" w:asciiTheme="minorEastAsia" w:hAnsiTheme="minorEastAsia" w:eastAsiaTheme="minorEastAsia" w:cstheme="minorEastAsia"/>
                <w:kern w:val="0"/>
                <w:sz w:val="24"/>
                <w:szCs w:val="24"/>
                <w:lang w:val="en-US" w:eastAsia="zh-CN"/>
              </w:rPr>
              <w:sym w:font="Wingdings 2" w:char="00A3"/>
            </w:r>
            <w:r>
              <w:rPr>
                <w:rFonts w:hint="eastAsia" w:asciiTheme="minorEastAsia" w:hAnsiTheme="minorEastAsia" w:eastAsiaTheme="minorEastAsia" w:cstheme="minorEastAsia"/>
                <w:kern w:val="0"/>
                <w:sz w:val="24"/>
                <w:szCs w:val="24"/>
                <w:lang w:val="en-US" w:eastAsia="zh-CN"/>
              </w:rPr>
              <w:t xml:space="preserve">     不予修复</w:t>
            </w:r>
            <w:r>
              <w:rPr>
                <w:rFonts w:hint="eastAsia" w:asciiTheme="minorEastAsia" w:hAnsiTheme="minorEastAsia" w:eastAsiaTheme="minorEastAsia" w:cstheme="minorEastAsia"/>
                <w:kern w:val="0"/>
                <w:sz w:val="24"/>
                <w:szCs w:val="24"/>
                <w:lang w:val="en-US" w:eastAsia="zh-CN"/>
              </w:rPr>
              <w:sym w:font="Wingdings 2" w:char="00A3"/>
            </w:r>
          </w:p>
          <w:p>
            <w:pPr>
              <w:numPr>
                <w:ilvl w:val="0"/>
                <w:numId w:val="0"/>
              </w:num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cstheme="minorEastAsia"/>
                <w:kern w:val="0"/>
                <w:sz w:val="24"/>
                <w:szCs w:val="24"/>
                <w:lang w:eastAsia="zh-CN"/>
              </w:rPr>
              <w:t>医疗保障局</w:t>
            </w:r>
            <w:r>
              <w:rPr>
                <w:rFonts w:hint="eastAsia" w:asciiTheme="minorEastAsia" w:hAnsiTheme="minorEastAsia" w:eastAsiaTheme="minorEastAsia" w:cstheme="minorEastAsia"/>
                <w:kern w:val="0"/>
                <w:sz w:val="24"/>
                <w:szCs w:val="24"/>
              </w:rPr>
              <w:t>（盖章）</w:t>
            </w:r>
          </w:p>
          <w:p>
            <w:pPr>
              <w:pStyle w:val="6"/>
              <w:rPr>
                <w:rFonts w:hint="eastAsia"/>
              </w:rPr>
            </w:pPr>
          </w:p>
          <w:p>
            <w:pPr>
              <w:numPr>
                <w:ilvl w:val="0"/>
                <w:numId w:val="0"/>
              </w:numPr>
              <w:jc w:val="righ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eastAsia="zh-CN"/>
              </w:rPr>
              <w:t xml:space="preserve">年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eastAsia="zh-CN"/>
              </w:rPr>
              <w:t>月    日</w:t>
            </w:r>
          </w:p>
        </w:tc>
      </w:tr>
    </w:tbl>
    <w:p>
      <w:pPr>
        <w:pStyle w:val="5"/>
        <w:numPr>
          <w:ilvl w:val="0"/>
          <w:numId w:val="0"/>
        </w:numPr>
        <w:spacing w:line="592" w:lineRule="exact"/>
        <w:rPr>
          <w:rFonts w:hint="default" w:ascii="Times New Roman" w:hAnsi="Times New Roman" w:cs="Times New Roman"/>
          <w:b w:val="0"/>
          <w:bCs w:val="0"/>
          <w:color w:val="000000" w:themeColor="text1"/>
          <w:kern w:val="0"/>
          <w:sz w:val="32"/>
          <w:szCs w:val="32"/>
          <w:lang w:val="en-US" w:eastAsia="zh-CN"/>
          <w14:textFill>
            <w14:solidFill>
              <w14:schemeClr w14:val="tx1"/>
            </w14:solidFill>
          </w14:textFill>
        </w:rPr>
      </w:pPr>
      <w:r>
        <w:rPr>
          <w:rFonts w:hint="eastAsia" w:ascii="Times New Roman" w:hAnsi="Times New Roman" w:cs="Times New Roman"/>
          <w:b w:val="0"/>
          <w:bCs w:val="0"/>
          <w:color w:val="000000" w:themeColor="text1"/>
          <w:kern w:val="0"/>
          <w:sz w:val="32"/>
          <w:szCs w:val="32"/>
          <w:lang w:val="en-US" w:eastAsia="zh-CN"/>
          <w14:textFill>
            <w14:solidFill>
              <w14:schemeClr w14:val="tx1"/>
            </w14:solidFill>
          </w14:textFill>
        </w:rPr>
        <w:t>附件6：</w:t>
      </w:r>
    </w:p>
    <w:p>
      <w:pPr>
        <w:pStyle w:val="5"/>
        <w:numPr>
          <w:ilvl w:val="0"/>
          <w:numId w:val="0"/>
        </w:numPr>
        <w:spacing w:line="592" w:lineRule="exact"/>
        <w:jc w:val="center"/>
        <w:rPr>
          <w:rFonts w:hint="eastAsia" w:ascii="黑体" w:hAnsi="黑体" w:eastAsia="黑体" w:cs="黑体"/>
          <w:b/>
          <w:bCs/>
          <w:kern w:val="2"/>
          <w:sz w:val="36"/>
          <w:szCs w:val="36"/>
          <w:lang w:val="en-US" w:eastAsia="zh-CN" w:bidi="ar-SA"/>
        </w:rPr>
      </w:pPr>
    </w:p>
    <w:p>
      <w:pPr>
        <w:pStyle w:val="5"/>
        <w:numPr>
          <w:ilvl w:val="0"/>
          <w:numId w:val="0"/>
        </w:numPr>
        <w:spacing w:line="592" w:lineRule="exact"/>
        <w:jc w:val="center"/>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不予信用修复告知书</w:t>
      </w:r>
    </w:p>
    <w:p>
      <w:pPr>
        <w:pStyle w:val="5"/>
        <w:numPr>
          <w:ilvl w:val="0"/>
          <w:numId w:val="0"/>
        </w:numPr>
        <w:spacing w:line="592" w:lineRule="exact"/>
        <w:ind w:firstLine="5440" w:firstLineChars="1700"/>
        <w:rPr>
          <w:rFonts w:hint="eastAsia" w:ascii="仿宋_GB2312" w:hAnsi="仿宋_GB2312" w:eastAsia="仿宋_GB2312" w:cs="仿宋_GB2312"/>
          <w:b w:val="0"/>
          <w:bCs w:val="0"/>
          <w:kern w:val="2"/>
          <w:sz w:val="32"/>
          <w:szCs w:val="32"/>
          <w:lang w:val="en-US" w:eastAsia="zh-CN" w:bidi="ar-SA"/>
        </w:rPr>
      </w:pPr>
    </w:p>
    <w:p>
      <w:pPr>
        <w:pStyle w:val="5"/>
        <w:numPr>
          <w:ilvl w:val="0"/>
          <w:numId w:val="0"/>
        </w:numPr>
        <w:spacing w:line="592" w:lineRule="exact"/>
        <w:ind w:firstLine="5440" w:firstLineChars="17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编号：</w:t>
      </w:r>
    </w:p>
    <w:p>
      <w:pPr>
        <w:pStyle w:val="5"/>
        <w:numPr>
          <w:ilvl w:val="0"/>
          <w:numId w:val="0"/>
        </w:numPr>
        <w:spacing w:line="592" w:lineRule="exact"/>
        <w:ind w:firstLine="640" w:firstLineChars="200"/>
        <w:rPr>
          <w:rFonts w:hint="eastAsia" w:ascii="仿宋_GB2312" w:hAnsi="仿宋_GB2312" w:eastAsia="仿宋_GB2312" w:cs="仿宋_GB2312"/>
          <w:b w:val="0"/>
          <w:bCs w:val="0"/>
          <w:kern w:val="2"/>
          <w:sz w:val="32"/>
          <w:szCs w:val="32"/>
          <w:lang w:val="en-US" w:eastAsia="zh-CN" w:bidi="ar-SA"/>
        </w:rPr>
      </w:pPr>
    </w:p>
    <w:p>
      <w:pPr>
        <w:pStyle w:val="5"/>
        <w:numPr>
          <w:ilvl w:val="0"/>
          <w:numId w:val="0"/>
        </w:numPr>
        <w:spacing w:line="592" w:lineRule="exact"/>
        <w:ind w:firstLine="640" w:firstLineChars="200"/>
        <w:rPr>
          <w:rFonts w:hint="eastAsia" w:ascii="仿宋_GB2312" w:hAnsi="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我局于   年   月   日收到你（单位）提出的申请，经审查，不符合《长沙市医疗保障信用管理实施细则（试行）》规定，决定</w:t>
      </w:r>
      <w:r>
        <w:rPr>
          <w:rFonts w:hint="eastAsia" w:ascii="仿宋_GB2312" w:hAnsi="仿宋_GB2312" w:cs="仿宋_GB2312"/>
          <w:b w:val="0"/>
          <w:bCs w:val="0"/>
          <w:kern w:val="2"/>
          <w:sz w:val="32"/>
          <w:szCs w:val="32"/>
          <w:lang w:val="en-US" w:eastAsia="zh-CN" w:bidi="ar-SA"/>
        </w:rPr>
        <w:t>不予信用修复。</w:t>
      </w:r>
    </w:p>
    <w:p>
      <w:pPr>
        <w:pStyle w:val="5"/>
        <w:numPr>
          <w:ilvl w:val="0"/>
          <w:numId w:val="0"/>
        </w:numPr>
        <w:spacing w:line="592" w:lineRule="exact"/>
        <w:ind w:firstLine="640" w:firstLineChars="200"/>
        <w:rPr>
          <w:rFonts w:hint="eastAsia" w:ascii="仿宋_GB2312" w:hAnsi="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如不服本决定，可以自收到本告知书之日起5个工作日内提出异议申请。</w:t>
      </w:r>
    </w:p>
    <w:p>
      <w:pPr>
        <w:pStyle w:val="5"/>
        <w:numPr>
          <w:ilvl w:val="0"/>
          <w:numId w:val="0"/>
        </w:numPr>
        <w:spacing w:line="592" w:lineRule="exact"/>
        <w:ind w:firstLine="640" w:firstLineChars="200"/>
        <w:rPr>
          <w:rFonts w:hint="eastAsia" w:ascii="仿宋_GB2312" w:hAnsi="仿宋_GB2312" w:cs="仿宋_GB2312"/>
          <w:b w:val="0"/>
          <w:bCs w:val="0"/>
          <w:kern w:val="2"/>
          <w:sz w:val="32"/>
          <w:szCs w:val="32"/>
          <w:lang w:val="en-US" w:eastAsia="zh-CN" w:bidi="ar-SA"/>
        </w:rPr>
      </w:pPr>
    </w:p>
    <w:p>
      <w:pPr>
        <w:pStyle w:val="5"/>
        <w:numPr>
          <w:ilvl w:val="0"/>
          <w:numId w:val="0"/>
        </w:numPr>
        <w:spacing w:line="592" w:lineRule="exact"/>
        <w:ind w:firstLine="640" w:firstLineChars="200"/>
        <w:rPr>
          <w:rFonts w:hint="eastAsia" w:ascii="仿宋_GB2312" w:hAnsi="仿宋_GB2312" w:cs="仿宋_GB2312"/>
          <w:b w:val="0"/>
          <w:bCs w:val="0"/>
          <w:kern w:val="2"/>
          <w:sz w:val="32"/>
          <w:szCs w:val="32"/>
          <w:lang w:val="en-US" w:eastAsia="zh-CN" w:bidi="ar-SA"/>
        </w:rPr>
      </w:pPr>
    </w:p>
    <w:p>
      <w:pPr>
        <w:pStyle w:val="5"/>
        <w:numPr>
          <w:ilvl w:val="0"/>
          <w:numId w:val="0"/>
        </w:numPr>
        <w:spacing w:line="592" w:lineRule="exact"/>
        <w:ind w:firstLine="5440" w:firstLineChars="1700"/>
        <w:rPr>
          <w:rFonts w:hint="eastAsia" w:ascii="仿宋_GB2312" w:hAnsi="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单位名称（公章）</w:t>
      </w:r>
    </w:p>
    <w:p>
      <w:pPr>
        <w:pStyle w:val="5"/>
        <w:numPr>
          <w:ilvl w:val="0"/>
          <w:numId w:val="0"/>
        </w:numPr>
        <w:spacing w:line="592" w:lineRule="exact"/>
        <w:ind w:firstLine="5760" w:firstLineChars="1800"/>
        <w:rPr>
          <w:rFonts w:hint="eastAsia" w:ascii="仿宋_GB2312" w:hAnsi="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年  月  日</w:t>
      </w:r>
    </w:p>
    <w:p>
      <w:pPr>
        <w:pStyle w:val="5"/>
        <w:numPr>
          <w:ilvl w:val="0"/>
          <w:numId w:val="0"/>
        </w:numPr>
        <w:spacing w:line="592" w:lineRule="exact"/>
        <w:ind w:firstLine="5760" w:firstLineChars="1800"/>
        <w:rPr>
          <w:rFonts w:hint="eastAsia" w:ascii="仿宋_GB2312" w:hAnsi="仿宋_GB2312" w:cs="仿宋_GB2312"/>
          <w:b w:val="0"/>
          <w:bCs w:val="0"/>
          <w:kern w:val="2"/>
          <w:sz w:val="32"/>
          <w:szCs w:val="32"/>
          <w:lang w:val="en-US" w:eastAsia="zh-CN" w:bidi="ar-SA"/>
        </w:rPr>
      </w:pPr>
    </w:p>
    <w:p>
      <w:pPr>
        <w:pStyle w:val="5"/>
        <w:numPr>
          <w:ilvl w:val="0"/>
          <w:numId w:val="0"/>
        </w:numPr>
        <w:spacing w:line="592" w:lineRule="exact"/>
        <w:ind w:firstLine="5760" w:firstLineChars="1800"/>
        <w:rPr>
          <w:rFonts w:hint="eastAsia" w:ascii="仿宋_GB2312" w:hAnsi="仿宋_GB2312" w:cs="仿宋_GB2312"/>
          <w:b w:val="0"/>
          <w:bCs w:val="0"/>
          <w:kern w:val="2"/>
          <w:sz w:val="32"/>
          <w:szCs w:val="32"/>
          <w:lang w:val="en-US" w:eastAsia="zh-CN" w:bidi="ar-SA"/>
        </w:rPr>
      </w:pPr>
    </w:p>
    <w:p>
      <w:pPr>
        <w:pStyle w:val="5"/>
        <w:numPr>
          <w:ilvl w:val="0"/>
          <w:numId w:val="0"/>
        </w:numPr>
        <w:spacing w:line="592" w:lineRule="exact"/>
        <w:ind w:firstLine="640" w:firstLineChars="200"/>
        <w:rPr>
          <w:rFonts w:hint="default" w:ascii="仿宋_GB2312" w:hAnsi="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经办人：               经办电话：</w:t>
      </w:r>
    </w:p>
    <w:sectPr>
      <w:pgSz w:w="11906" w:h="16838"/>
      <w:pgMar w:top="1247" w:right="1800" w:bottom="1247" w:left="1800" w:header="851" w:footer="992" w:gutter="0"/>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YzkxN2M1MDg0NDQ1NGRkYjA0NDRkYzEwN2M2OTIifQ=="/>
  </w:docVars>
  <w:rsids>
    <w:rsidRoot w:val="01662FE8"/>
    <w:rsid w:val="00A54BF1"/>
    <w:rsid w:val="01662FE8"/>
    <w:rsid w:val="019F1377"/>
    <w:rsid w:val="038D16A3"/>
    <w:rsid w:val="03BE7AAE"/>
    <w:rsid w:val="07CF2F64"/>
    <w:rsid w:val="07EFC736"/>
    <w:rsid w:val="081725EF"/>
    <w:rsid w:val="091B60CD"/>
    <w:rsid w:val="0DFF9729"/>
    <w:rsid w:val="0E7B6CC7"/>
    <w:rsid w:val="0FED59A3"/>
    <w:rsid w:val="10F930E4"/>
    <w:rsid w:val="1135299D"/>
    <w:rsid w:val="11FD010D"/>
    <w:rsid w:val="12F10368"/>
    <w:rsid w:val="14103851"/>
    <w:rsid w:val="14AB1989"/>
    <w:rsid w:val="15A57858"/>
    <w:rsid w:val="19B11100"/>
    <w:rsid w:val="1B002FD1"/>
    <w:rsid w:val="1BDFC6A5"/>
    <w:rsid w:val="1C0025BA"/>
    <w:rsid w:val="1D4D12CB"/>
    <w:rsid w:val="1DAF39F6"/>
    <w:rsid w:val="1EAF4D9D"/>
    <w:rsid w:val="1F5A21E2"/>
    <w:rsid w:val="1FB3A8FC"/>
    <w:rsid w:val="23EC4072"/>
    <w:rsid w:val="26396DF4"/>
    <w:rsid w:val="26EF95BB"/>
    <w:rsid w:val="2973086F"/>
    <w:rsid w:val="2997ACDC"/>
    <w:rsid w:val="2A25644E"/>
    <w:rsid w:val="2A359467"/>
    <w:rsid w:val="2B996587"/>
    <w:rsid w:val="2CDA6A08"/>
    <w:rsid w:val="2CFEB893"/>
    <w:rsid w:val="2D2F4DAB"/>
    <w:rsid w:val="2F0E55F2"/>
    <w:rsid w:val="2F9E1293"/>
    <w:rsid w:val="2FBF1C9D"/>
    <w:rsid w:val="2FBF416B"/>
    <w:rsid w:val="2FDA2757"/>
    <w:rsid w:val="2FF60B0C"/>
    <w:rsid w:val="30691669"/>
    <w:rsid w:val="31767F14"/>
    <w:rsid w:val="31B21E4F"/>
    <w:rsid w:val="33296340"/>
    <w:rsid w:val="34EB7E53"/>
    <w:rsid w:val="34FEE86D"/>
    <w:rsid w:val="375E6494"/>
    <w:rsid w:val="37BDC26A"/>
    <w:rsid w:val="37EB19D2"/>
    <w:rsid w:val="37FE568A"/>
    <w:rsid w:val="387F7335"/>
    <w:rsid w:val="39BEA9F7"/>
    <w:rsid w:val="3AFFD806"/>
    <w:rsid w:val="3B7D9E77"/>
    <w:rsid w:val="3B8D3163"/>
    <w:rsid w:val="3C940DD1"/>
    <w:rsid w:val="3CF9C9D6"/>
    <w:rsid w:val="3D1DB98A"/>
    <w:rsid w:val="3D7F93C6"/>
    <w:rsid w:val="3DCE0EA4"/>
    <w:rsid w:val="3DCF99E8"/>
    <w:rsid w:val="3DE6DCC3"/>
    <w:rsid w:val="3DEFD659"/>
    <w:rsid w:val="3E175815"/>
    <w:rsid w:val="3E53F9B0"/>
    <w:rsid w:val="3E642A25"/>
    <w:rsid w:val="3E97DC45"/>
    <w:rsid w:val="3EF33630"/>
    <w:rsid w:val="3F7EF1C1"/>
    <w:rsid w:val="3FFF15B8"/>
    <w:rsid w:val="3FFF4848"/>
    <w:rsid w:val="3FFFE97A"/>
    <w:rsid w:val="40F2256A"/>
    <w:rsid w:val="44586B88"/>
    <w:rsid w:val="44FFE7BF"/>
    <w:rsid w:val="450A08F4"/>
    <w:rsid w:val="45196317"/>
    <w:rsid w:val="46F1D5FD"/>
    <w:rsid w:val="4859E4B7"/>
    <w:rsid w:val="4AE70BC1"/>
    <w:rsid w:val="4B21CE96"/>
    <w:rsid w:val="4B2A5E10"/>
    <w:rsid w:val="4C1635B0"/>
    <w:rsid w:val="4C2537F3"/>
    <w:rsid w:val="4DA316A8"/>
    <w:rsid w:val="4DFF1E22"/>
    <w:rsid w:val="4EFB3B86"/>
    <w:rsid w:val="4F7B8199"/>
    <w:rsid w:val="4FF3D390"/>
    <w:rsid w:val="4FF90462"/>
    <w:rsid w:val="5050360E"/>
    <w:rsid w:val="518802F3"/>
    <w:rsid w:val="51CDD9B5"/>
    <w:rsid w:val="532F561F"/>
    <w:rsid w:val="55DE5962"/>
    <w:rsid w:val="55EB4EA2"/>
    <w:rsid w:val="56A524A2"/>
    <w:rsid w:val="56FE00DA"/>
    <w:rsid w:val="56FF10EE"/>
    <w:rsid w:val="57A37CC2"/>
    <w:rsid w:val="57F9766C"/>
    <w:rsid w:val="57FA3905"/>
    <w:rsid w:val="58F6A76B"/>
    <w:rsid w:val="59D65C6D"/>
    <w:rsid w:val="5AC3478B"/>
    <w:rsid w:val="5B043707"/>
    <w:rsid w:val="5B5FA040"/>
    <w:rsid w:val="5B7B0B18"/>
    <w:rsid w:val="5BAB04E7"/>
    <w:rsid w:val="5C9D357F"/>
    <w:rsid w:val="5CE765E7"/>
    <w:rsid w:val="5D197FE0"/>
    <w:rsid w:val="5D3DF72D"/>
    <w:rsid w:val="5DEC8D8C"/>
    <w:rsid w:val="5E1F3C38"/>
    <w:rsid w:val="5E6766D3"/>
    <w:rsid w:val="5EC7347F"/>
    <w:rsid w:val="5EF382BE"/>
    <w:rsid w:val="5F334C37"/>
    <w:rsid w:val="5F66366F"/>
    <w:rsid w:val="5F74ECC2"/>
    <w:rsid w:val="5F9EF2F1"/>
    <w:rsid w:val="5FB7FFFE"/>
    <w:rsid w:val="5FDA01E4"/>
    <w:rsid w:val="61FF60ED"/>
    <w:rsid w:val="626C4738"/>
    <w:rsid w:val="63D27ED9"/>
    <w:rsid w:val="64507EF3"/>
    <w:rsid w:val="65FB89E7"/>
    <w:rsid w:val="661D1B7C"/>
    <w:rsid w:val="662B3D20"/>
    <w:rsid w:val="66EB0FA3"/>
    <w:rsid w:val="66FBE1D7"/>
    <w:rsid w:val="67FEBD3F"/>
    <w:rsid w:val="6B0F96A2"/>
    <w:rsid w:val="6B3F4022"/>
    <w:rsid w:val="6B7FA72F"/>
    <w:rsid w:val="6D7D2327"/>
    <w:rsid w:val="6D7F6803"/>
    <w:rsid w:val="6DDCCBFB"/>
    <w:rsid w:val="6E6B45CB"/>
    <w:rsid w:val="6F5778B8"/>
    <w:rsid w:val="6FBB3522"/>
    <w:rsid w:val="6FE24783"/>
    <w:rsid w:val="6FF3B662"/>
    <w:rsid w:val="6FF471F5"/>
    <w:rsid w:val="6FFDB01C"/>
    <w:rsid w:val="6FFDD645"/>
    <w:rsid w:val="6FFE93C6"/>
    <w:rsid w:val="6FFF1F04"/>
    <w:rsid w:val="6FFFF2B7"/>
    <w:rsid w:val="7143387C"/>
    <w:rsid w:val="71EE2949"/>
    <w:rsid w:val="72DB3F22"/>
    <w:rsid w:val="72DC47B1"/>
    <w:rsid w:val="73AB97C3"/>
    <w:rsid w:val="73DE6051"/>
    <w:rsid w:val="73FF8BD8"/>
    <w:rsid w:val="74094528"/>
    <w:rsid w:val="749BB2C4"/>
    <w:rsid w:val="753F9FF2"/>
    <w:rsid w:val="75FB4E93"/>
    <w:rsid w:val="75FCBE66"/>
    <w:rsid w:val="767F43EF"/>
    <w:rsid w:val="76FFE7A7"/>
    <w:rsid w:val="7777FA59"/>
    <w:rsid w:val="777F5BFE"/>
    <w:rsid w:val="778154D2"/>
    <w:rsid w:val="77BF7888"/>
    <w:rsid w:val="77DFCB4C"/>
    <w:rsid w:val="77F26167"/>
    <w:rsid w:val="77FA6CE4"/>
    <w:rsid w:val="77FCC5B4"/>
    <w:rsid w:val="77FE6C6C"/>
    <w:rsid w:val="77FF7D30"/>
    <w:rsid w:val="78EFA9D5"/>
    <w:rsid w:val="78FE10FF"/>
    <w:rsid w:val="7946E383"/>
    <w:rsid w:val="79C6E694"/>
    <w:rsid w:val="7A5C562A"/>
    <w:rsid w:val="7AEFF5B0"/>
    <w:rsid w:val="7AF322E9"/>
    <w:rsid w:val="7B30793B"/>
    <w:rsid w:val="7BDE0910"/>
    <w:rsid w:val="7BEFB684"/>
    <w:rsid w:val="7BF2AD66"/>
    <w:rsid w:val="7BF7D227"/>
    <w:rsid w:val="7BFEEF0E"/>
    <w:rsid w:val="7D69270F"/>
    <w:rsid w:val="7DCFE573"/>
    <w:rsid w:val="7DDEAD4C"/>
    <w:rsid w:val="7DDEE17F"/>
    <w:rsid w:val="7DEFE7D6"/>
    <w:rsid w:val="7DFF02E2"/>
    <w:rsid w:val="7E1D1CCD"/>
    <w:rsid w:val="7E474DFC"/>
    <w:rsid w:val="7E4D4C5B"/>
    <w:rsid w:val="7E5EAD8D"/>
    <w:rsid w:val="7E6C8176"/>
    <w:rsid w:val="7E789489"/>
    <w:rsid w:val="7E7A1478"/>
    <w:rsid w:val="7E7F9838"/>
    <w:rsid w:val="7EA965DD"/>
    <w:rsid w:val="7EEFDD6C"/>
    <w:rsid w:val="7EF3F99C"/>
    <w:rsid w:val="7EFF7999"/>
    <w:rsid w:val="7F5D8CEA"/>
    <w:rsid w:val="7F7FF56E"/>
    <w:rsid w:val="7F9B26DD"/>
    <w:rsid w:val="7F9FD05A"/>
    <w:rsid w:val="7FBE9BD9"/>
    <w:rsid w:val="7FBF4607"/>
    <w:rsid w:val="7FCD0979"/>
    <w:rsid w:val="7FD3C6D7"/>
    <w:rsid w:val="7FD65E1B"/>
    <w:rsid w:val="7FD779DD"/>
    <w:rsid w:val="7FDED42A"/>
    <w:rsid w:val="7FDEE0E6"/>
    <w:rsid w:val="7FDF8050"/>
    <w:rsid w:val="7FDFEAA2"/>
    <w:rsid w:val="7FE28E3A"/>
    <w:rsid w:val="7FF5DCCB"/>
    <w:rsid w:val="7FF7D88C"/>
    <w:rsid w:val="7FF7E014"/>
    <w:rsid w:val="7FFCEFFF"/>
    <w:rsid w:val="7FFDB13F"/>
    <w:rsid w:val="97AD2A15"/>
    <w:rsid w:val="9BDF04BB"/>
    <w:rsid w:val="9BEED766"/>
    <w:rsid w:val="9BF5A275"/>
    <w:rsid w:val="9DE73131"/>
    <w:rsid w:val="9F0E662A"/>
    <w:rsid w:val="9FD49E66"/>
    <w:rsid w:val="A8878F37"/>
    <w:rsid w:val="AFD98BE0"/>
    <w:rsid w:val="B17EDF31"/>
    <w:rsid w:val="B23AE38C"/>
    <w:rsid w:val="B57B45F9"/>
    <w:rsid w:val="B79A2806"/>
    <w:rsid w:val="B7E69AC6"/>
    <w:rsid w:val="B7EF74DB"/>
    <w:rsid w:val="B7FFAA36"/>
    <w:rsid w:val="BA5BDB9F"/>
    <w:rsid w:val="BBB7EB3F"/>
    <w:rsid w:val="BBBA94CB"/>
    <w:rsid w:val="BBEB1D7C"/>
    <w:rsid w:val="BBF402A4"/>
    <w:rsid w:val="BBFEB814"/>
    <w:rsid w:val="BD5FA82F"/>
    <w:rsid w:val="BE5F1FF2"/>
    <w:rsid w:val="BEA7AA22"/>
    <w:rsid w:val="BEB5939F"/>
    <w:rsid w:val="BED5DA55"/>
    <w:rsid w:val="BEFEBE22"/>
    <w:rsid w:val="BF6BF410"/>
    <w:rsid w:val="BF7E527B"/>
    <w:rsid w:val="BFDA6740"/>
    <w:rsid w:val="BFDF9ED5"/>
    <w:rsid w:val="BFF43AB6"/>
    <w:rsid w:val="BFF9F152"/>
    <w:rsid w:val="BFFB4B59"/>
    <w:rsid w:val="BFFF13EF"/>
    <w:rsid w:val="C32F87BC"/>
    <w:rsid w:val="C77FB3E3"/>
    <w:rsid w:val="C9BF935A"/>
    <w:rsid w:val="CAF78CA4"/>
    <w:rsid w:val="CBFED5B7"/>
    <w:rsid w:val="CDFEC161"/>
    <w:rsid w:val="CFFDAECE"/>
    <w:rsid w:val="D3DDA7DC"/>
    <w:rsid w:val="D6FDAE89"/>
    <w:rsid w:val="D77D9C9B"/>
    <w:rsid w:val="D9616716"/>
    <w:rsid w:val="D9DF13A9"/>
    <w:rsid w:val="D9FBE193"/>
    <w:rsid w:val="DB6F51D6"/>
    <w:rsid w:val="DBEE84CA"/>
    <w:rsid w:val="DBF7EFD6"/>
    <w:rsid w:val="DBF7F6B4"/>
    <w:rsid w:val="DBFD88B9"/>
    <w:rsid w:val="DDAFB29A"/>
    <w:rsid w:val="DDD6D1B7"/>
    <w:rsid w:val="DDFCCF70"/>
    <w:rsid w:val="DEDEBC0F"/>
    <w:rsid w:val="DEF73969"/>
    <w:rsid w:val="DF7B82DA"/>
    <w:rsid w:val="DF7DA4B3"/>
    <w:rsid w:val="DF7FE4D5"/>
    <w:rsid w:val="DFBBB332"/>
    <w:rsid w:val="DFCF5AEF"/>
    <w:rsid w:val="DFCFEDD6"/>
    <w:rsid w:val="DFD7427B"/>
    <w:rsid w:val="DFEAF768"/>
    <w:rsid w:val="DFFE578D"/>
    <w:rsid w:val="DFFE9435"/>
    <w:rsid w:val="DFFF661E"/>
    <w:rsid w:val="E3BF212C"/>
    <w:rsid w:val="E3F721F4"/>
    <w:rsid w:val="E5CD557A"/>
    <w:rsid w:val="E9FBA14F"/>
    <w:rsid w:val="EBFF1BE3"/>
    <w:rsid w:val="EBFF7C9B"/>
    <w:rsid w:val="ED3610A3"/>
    <w:rsid w:val="EDED6A1D"/>
    <w:rsid w:val="EEBD463F"/>
    <w:rsid w:val="EEEEBA9B"/>
    <w:rsid w:val="EEFE8D1A"/>
    <w:rsid w:val="EF7FC4A1"/>
    <w:rsid w:val="EFB81723"/>
    <w:rsid w:val="EFC7B1AA"/>
    <w:rsid w:val="EFDF0551"/>
    <w:rsid w:val="EFFB49A9"/>
    <w:rsid w:val="EFFDD60F"/>
    <w:rsid w:val="F0F19EFC"/>
    <w:rsid w:val="F1B9FFB9"/>
    <w:rsid w:val="F26D561B"/>
    <w:rsid w:val="F32F9945"/>
    <w:rsid w:val="F37E4E4C"/>
    <w:rsid w:val="F3FF6D7B"/>
    <w:rsid w:val="F4E6447D"/>
    <w:rsid w:val="F4FB0BFE"/>
    <w:rsid w:val="F59F887D"/>
    <w:rsid w:val="F5FECF91"/>
    <w:rsid w:val="F6BF9591"/>
    <w:rsid w:val="F6FAB3B9"/>
    <w:rsid w:val="F7BE77D2"/>
    <w:rsid w:val="F7EF9BB7"/>
    <w:rsid w:val="F7F7AA21"/>
    <w:rsid w:val="F7FF40AF"/>
    <w:rsid w:val="F99E0346"/>
    <w:rsid w:val="F9B2CC2A"/>
    <w:rsid w:val="FA7F9AF5"/>
    <w:rsid w:val="FABB1388"/>
    <w:rsid w:val="FAE7687D"/>
    <w:rsid w:val="FB5F1B2F"/>
    <w:rsid w:val="FB6D4A70"/>
    <w:rsid w:val="FBCFD8AD"/>
    <w:rsid w:val="FBEF57D1"/>
    <w:rsid w:val="FBFFDCB0"/>
    <w:rsid w:val="FC637A4B"/>
    <w:rsid w:val="FCDFB39C"/>
    <w:rsid w:val="FD320270"/>
    <w:rsid w:val="FD5D5A66"/>
    <w:rsid w:val="FD73DB8A"/>
    <w:rsid w:val="FD7F093B"/>
    <w:rsid w:val="FDDB561E"/>
    <w:rsid w:val="FE0723A0"/>
    <w:rsid w:val="FE17FB83"/>
    <w:rsid w:val="FE4F964A"/>
    <w:rsid w:val="FE7F68C5"/>
    <w:rsid w:val="FEFB9DAB"/>
    <w:rsid w:val="FEFF3CEC"/>
    <w:rsid w:val="FF2B3B4B"/>
    <w:rsid w:val="FF2F8DF4"/>
    <w:rsid w:val="FF32D41D"/>
    <w:rsid w:val="FF6DA5AC"/>
    <w:rsid w:val="FF7D97C3"/>
    <w:rsid w:val="FF7E4A2D"/>
    <w:rsid w:val="FF7E864E"/>
    <w:rsid w:val="FF7FDEAF"/>
    <w:rsid w:val="FFA702F5"/>
    <w:rsid w:val="FFC3A56D"/>
    <w:rsid w:val="FFC63D64"/>
    <w:rsid w:val="FFDDA889"/>
    <w:rsid w:val="FFDEF19D"/>
    <w:rsid w:val="FFDFAEAB"/>
    <w:rsid w:val="FFEBEABC"/>
    <w:rsid w:val="FFEE769F"/>
    <w:rsid w:val="FFEFB5ED"/>
    <w:rsid w:val="FFEFC7B1"/>
    <w:rsid w:val="FFEFECFA"/>
    <w:rsid w:val="FFF7D887"/>
    <w:rsid w:val="FFFA844D"/>
    <w:rsid w:val="FFFD57B1"/>
    <w:rsid w:val="FFFF3B24"/>
    <w:rsid w:val="FFFFF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8"/>
    </w:rPr>
  </w:style>
  <w:style w:type="paragraph" w:styleId="4">
    <w:name w:val="index 5"/>
    <w:basedOn w:val="1"/>
    <w:next w:val="1"/>
    <w:semiHidden/>
    <w:qFormat/>
    <w:uiPriority w:val="0"/>
    <w:pPr>
      <w:spacing w:line="240" w:lineRule="auto"/>
      <w:ind w:left="1680"/>
    </w:pPr>
    <w:rPr>
      <w:rFonts w:eastAsia="宋体"/>
      <w:sz w:val="21"/>
    </w:rPr>
  </w:style>
  <w:style w:type="paragraph" w:styleId="5">
    <w:name w:val="Body Text"/>
    <w:basedOn w:val="1"/>
    <w:link w:val="11"/>
    <w:qFormat/>
    <w:uiPriority w:val="0"/>
    <w:rPr>
      <w:rFonts w:eastAsia="仿宋_GB2312"/>
      <w:sz w:val="32"/>
    </w:rPr>
  </w:style>
  <w:style w:type="paragraph" w:styleId="6">
    <w:name w:val="footer"/>
    <w:basedOn w:val="1"/>
    <w:next w:val="4"/>
    <w:unhideWhenUsed/>
    <w:qFormat/>
    <w:uiPriority w:val="99"/>
    <w:pPr>
      <w:tabs>
        <w:tab w:val="center" w:pos="4153"/>
        <w:tab w:val="right" w:pos="8306"/>
      </w:tabs>
      <w:snapToGrid w:val="0"/>
      <w:jc w:val="left"/>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 Char"/>
    <w:link w:val="5"/>
    <w:qFormat/>
    <w:uiPriority w:val="0"/>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4548</Words>
  <Characters>4583</Characters>
  <Lines>0</Lines>
  <Paragraphs>0</Paragraphs>
  <TotalTime>28</TotalTime>
  <ScaleCrop>false</ScaleCrop>
  <LinksUpToDate>false</LinksUpToDate>
  <CharactersWithSpaces>5068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2022-06-02T16:49:00Z</dcterms:created>
  <dc:creator>xj</dc:creator>
  <cp:lastModifiedBy>kylin</cp:lastModifiedBy>
  <cp:lastPrinted>2022-10-28T01:21:00Z</cp:lastPrinted>
  <dcterms:modified xsi:type="dcterms:W3CDTF">2022-10-27T13:55:41Z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854185D16FF04826BDFDA6BB65E5FAEB</vt:lpwstr>
  </property>
</Properties>
</file>