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360" w:lineRule="auto"/>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bookmarkStart w:id="0" w:name="_GoBack"/>
      <w:bookmarkEnd w:id="0"/>
    </w:p>
    <w:p>
      <w:pPr>
        <w:widowControl w:val="0"/>
        <w:adjustRightInd w:val="0"/>
        <w:snapToGrid w:val="0"/>
        <w:spacing w:line="300" w:lineRule="auto"/>
        <w:jc w:val="center"/>
        <w:textAlignment w:val="auto"/>
        <w:outlineLvl w:val="0"/>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北京市老年健康与医养结合服务管理</w:t>
      </w:r>
    </w:p>
    <w:p>
      <w:pPr>
        <w:widowControl w:val="0"/>
        <w:adjustRightInd w:val="0"/>
        <w:snapToGrid w:val="0"/>
        <w:spacing w:line="300" w:lineRule="auto"/>
        <w:jc w:val="center"/>
        <w:textAlignment w:val="auto"/>
        <w:outlineLvl w:val="0"/>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工作规范（</w:t>
      </w:r>
      <w:r>
        <w:rPr>
          <w:rFonts w:hint="eastAsia" w:ascii="方正小标宋简体" w:hAnsi="方正小标宋简体" w:eastAsia="方正小标宋简体" w:cs="方正小标宋简体"/>
          <w:color w:val="auto"/>
          <w:sz w:val="44"/>
          <w:szCs w:val="44"/>
          <w:highlight w:val="none"/>
        </w:rPr>
        <w:t>试行</w:t>
      </w:r>
      <w:r>
        <w:rPr>
          <w:rFonts w:hint="eastAsia" w:ascii="方正小标宋简体" w:hAnsi="方正小标宋简体" w:eastAsia="方正小标宋简体" w:cs="方正小标宋简体"/>
          <w:bCs/>
          <w:color w:val="auto"/>
          <w:sz w:val="44"/>
          <w:szCs w:val="44"/>
          <w:highlight w:val="none"/>
        </w:rPr>
        <w:t>）</w:t>
      </w:r>
    </w:p>
    <w:p>
      <w:pPr>
        <w:widowControl w:val="0"/>
        <w:overflowPunct w:val="0"/>
        <w:adjustRightInd w:val="0"/>
        <w:snapToGrid w:val="0"/>
        <w:spacing w:line="360" w:lineRule="auto"/>
        <w:ind w:firstLine="602" w:firstLineChars="200"/>
        <w:jc w:val="center"/>
        <w:textAlignment w:val="auto"/>
        <w:rPr>
          <w:rFonts w:ascii="Times New Roman" w:hAnsi="Times New Roman" w:eastAsia="楷体_GB2312"/>
          <w:b/>
          <w:color w:val="auto"/>
          <w:sz w:val="30"/>
          <w:szCs w:val="30"/>
          <w:highlight w:val="none"/>
        </w:rPr>
      </w:pPr>
    </w:p>
    <w:p>
      <w:pPr>
        <w:widowControl w:val="0"/>
        <w:adjustRightInd w:val="0"/>
        <w:snapToGrid w:val="0"/>
        <w:spacing w:line="360" w:lineRule="auto"/>
        <w:ind w:firstLine="640" w:firstLineChars="200"/>
        <w:jc w:val="both"/>
        <w:textAlignment w:val="auto"/>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一、服务对象</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（一）辖区65岁及以上的常住居民。</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（二）辖区65岁及以上失能老年人。</w:t>
      </w:r>
    </w:p>
    <w:p>
      <w:pPr>
        <w:widowControl w:val="0"/>
        <w:adjustRightInd w:val="0"/>
        <w:snapToGrid w:val="0"/>
        <w:spacing w:line="360" w:lineRule="auto"/>
        <w:ind w:firstLine="640" w:firstLineChars="200"/>
        <w:jc w:val="both"/>
        <w:textAlignment w:val="auto"/>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二、服务目标</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为65岁及以上老年人提供医养结合服务，提高老年人生活质量和健康水平。</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为65岁及以上失能老年人开展健康评估与健康服务，改善失能老年人的生活质量。</w:t>
      </w:r>
    </w:p>
    <w:p>
      <w:pPr>
        <w:widowControl w:val="0"/>
        <w:adjustRightInd w:val="0"/>
        <w:snapToGrid w:val="0"/>
        <w:spacing w:line="360" w:lineRule="auto"/>
        <w:ind w:firstLine="640" w:firstLineChars="200"/>
        <w:jc w:val="both"/>
        <w:textAlignment w:val="auto"/>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三、服务内容</w:t>
      </w:r>
    </w:p>
    <w:p>
      <w:pPr>
        <w:widowControl w:val="0"/>
        <w:adjustRightInd w:val="0"/>
        <w:snapToGrid w:val="0"/>
        <w:spacing w:line="360" w:lineRule="auto"/>
        <w:ind w:firstLine="640" w:firstLineChars="200"/>
        <w:jc w:val="both"/>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（一）为65岁及以上老年人提供医养结合服务</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每年为辖区居家养老的老年人签订家庭医生签约协议并提供2次医养结合服务，可以包括1次老年人健康管理服务和1次健康指导服务。老年人健康管理服务内容即原国家基本公共服务中的老年人健康管理服务；健康指导服务内容应根据居家老年人的健康状况，开展血压测量、末梢血血糖检测、康复指导、护理技能指导、保健咨询、营养改善指导等方面的健康指导。对高龄、失能、行动不便的老年人上门进行服务。</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1.康复指导。通过一般评估，开展康复评定、康复治疗与训练、康复护理和相关健康教育等。</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2.护理技能指导。根据老年人情况提供压疮预防护理指导、跌倒预防及居家照料指导、烫伤预防指导、坠床预防护理指导、创伤护理指导等健康指导服务。</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3.保健咨询。根据老年人的健康及疾病状况针对老年人罹患共病、老年综合征、衰老、失能等健康问题，提供有针对性的健康指导建议，开展个体化的咨询指导。</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4.营养改善指导。通过营养评估，使用个体化的营养膳食处方进行健康指导。</w:t>
      </w:r>
    </w:p>
    <w:p>
      <w:pPr>
        <w:widowControl w:val="0"/>
        <w:adjustRightInd w:val="0"/>
        <w:snapToGrid w:val="0"/>
        <w:spacing w:line="360" w:lineRule="auto"/>
        <w:ind w:firstLine="640" w:firstLineChars="200"/>
        <w:jc w:val="both"/>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（二）为65岁及以上失能老年人提供健康评估与健康服务</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每年对辖区内主动</w:t>
      </w:r>
      <w:r>
        <w:rPr>
          <w:rFonts w:hint="eastAsia" w:ascii="仿宋_GB2312" w:hAnsi="仿宋_GB2312" w:eastAsia="仿宋_GB2312" w:cs="仿宋_GB2312"/>
          <w:bCs/>
          <w:color w:val="auto"/>
          <w:sz w:val="32"/>
          <w:szCs w:val="32"/>
          <w:highlight w:val="none"/>
          <w:lang w:eastAsia="zh-Hans"/>
        </w:rPr>
        <w:t>提出失能老年人上门健康评估申请</w:t>
      </w:r>
      <w:r>
        <w:rPr>
          <w:rFonts w:hint="eastAsia" w:ascii="仿宋_GB2312" w:hAnsi="仿宋_GB2312" w:eastAsia="仿宋_GB2312" w:cs="仿宋_GB2312"/>
          <w:bCs/>
          <w:color w:val="auto"/>
          <w:sz w:val="32"/>
          <w:szCs w:val="32"/>
          <w:highlight w:val="none"/>
        </w:rPr>
        <w:t>（详见附录1）的</w:t>
      </w:r>
      <w:r>
        <w:rPr>
          <w:rFonts w:ascii="仿宋_GB2312" w:hAnsi="仿宋_GB2312" w:eastAsia="仿宋_GB2312" w:cs="仿宋_GB2312"/>
          <w:bCs/>
          <w:color w:val="auto"/>
          <w:sz w:val="32"/>
          <w:szCs w:val="32"/>
          <w:highlight w:val="none"/>
        </w:rPr>
        <w:t>65</w:t>
      </w:r>
      <w:r>
        <w:rPr>
          <w:rFonts w:hint="eastAsia" w:ascii="仿宋_GB2312" w:hAnsi="仿宋_GB2312" w:eastAsia="仿宋_GB2312" w:cs="仿宋_GB2312"/>
          <w:bCs/>
          <w:color w:val="auto"/>
          <w:sz w:val="32"/>
          <w:szCs w:val="32"/>
          <w:highlight w:val="none"/>
          <w:lang w:eastAsia="zh-Hans"/>
        </w:rPr>
        <w:t>岁及以上</w:t>
      </w:r>
      <w:r>
        <w:rPr>
          <w:rFonts w:hint="eastAsia" w:ascii="仿宋_GB2312" w:hAnsi="仿宋_GB2312" w:eastAsia="仿宋_GB2312" w:cs="仿宋_GB2312"/>
          <w:bCs/>
          <w:color w:val="auto"/>
          <w:sz w:val="32"/>
          <w:szCs w:val="32"/>
          <w:highlight w:val="none"/>
        </w:rPr>
        <w:t>老年人和接受老年人健康管理服务“老年人生活自理能力评估表”（详见附录</w:t>
      </w:r>
      <w:r>
        <w:rPr>
          <w:rFonts w:hint="eastAsia" w:ascii="仿宋_GB2312" w:hAnsi="仿宋_GB2312" w:eastAsia="仿宋_GB2312" w:cs="仿宋_GB2312"/>
          <w:bCs/>
          <w:color w:val="auto"/>
          <w:sz w:val="32"/>
          <w:szCs w:val="32"/>
          <w:highlight w:val="none"/>
          <w:lang w:val="en-US" w:eastAsia="zh-CN"/>
        </w:rPr>
        <w:t>1附表</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Hans"/>
        </w:rPr>
        <w:t>评分</w:t>
      </w:r>
      <w:r>
        <w:rPr>
          <w:rFonts w:hint="eastAsia" w:ascii="仿宋_GB2312" w:hAnsi="仿宋_GB2312" w:eastAsia="仿宋_GB2312" w:cs="仿宋_GB2312"/>
          <w:bCs/>
          <w:color w:val="auto"/>
          <w:sz w:val="32"/>
          <w:szCs w:val="32"/>
          <w:highlight w:val="none"/>
        </w:rPr>
        <w:t>≥4分的老年人，全部纳入健康评估范围，其中</w:t>
      </w:r>
      <w:r>
        <w:rPr>
          <w:rFonts w:hint="eastAsia" w:ascii="仿宋_GB2312" w:hAnsi="仿宋_GB2312" w:eastAsia="仿宋_GB2312" w:cs="仿宋_GB2312"/>
          <w:bCs/>
          <w:color w:val="auto"/>
          <w:sz w:val="32"/>
          <w:szCs w:val="32"/>
          <w:highlight w:val="none"/>
          <w:lang w:eastAsia="zh-Hans"/>
        </w:rPr>
        <w:t>评分</w:t>
      </w:r>
      <w:r>
        <w:rPr>
          <w:rFonts w:hint="eastAsia" w:ascii="仿宋_GB2312" w:hAnsi="仿宋_GB2312" w:eastAsia="仿宋_GB2312" w:cs="仿宋_GB2312"/>
          <w:bCs/>
          <w:color w:val="auto"/>
          <w:sz w:val="32"/>
          <w:szCs w:val="32"/>
          <w:highlight w:val="none"/>
        </w:rPr>
        <w:t>≥19分者开展上门健康评估</w:t>
      </w:r>
      <w:r>
        <w:rPr>
          <w:rFonts w:hint="eastAsia" w:ascii="仿宋_GB2312" w:hAnsi="仿宋_GB2312" w:eastAsia="仿宋_GB2312" w:cs="仿宋_GB2312"/>
          <w:bCs/>
          <w:color w:val="auto"/>
          <w:sz w:val="32"/>
          <w:szCs w:val="32"/>
          <w:highlight w:val="none"/>
          <w:lang w:eastAsia="zh-Hans"/>
        </w:rPr>
        <w:t>。针</w:t>
      </w:r>
      <w:r>
        <w:rPr>
          <w:rFonts w:hint="eastAsia" w:ascii="仿宋_GB2312" w:hAnsi="仿宋_GB2312" w:eastAsia="仿宋_GB2312" w:cs="仿宋_GB2312"/>
          <w:bCs/>
          <w:color w:val="auto"/>
          <w:sz w:val="32"/>
          <w:szCs w:val="32"/>
          <w:highlight w:val="none"/>
        </w:rPr>
        <w:t>对评估结果对符合条件的失能老年人及照护者年内提供至少1次的健康服务工作，健康服务的具体内容包括康复护理指导、心理支持等。</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1.健康评估。按照要求开展规范评估，出具综合评估结果报告，本次评估结果可作为辖区开展医养结合服务的参考依据。具体评估如下：</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1）老年人日常生活活动能力、精神状态与社会参与能力、感知觉与沟通能力评分情况,使用《老年人能力评估标准表（试行）》（详见附录2）</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2）老年综合征评估，包括跌倒、瞻妄、慢性疼痛、老年帕金森综合征、抑郁症、晕厥、多重用药、痴呆、失眠、尿失禁、压力性损伤等情况，填写《老年综合征罹患情况表（试行）》（详见附录3）。</w:t>
      </w:r>
    </w:p>
    <w:p>
      <w:pPr>
        <w:widowControl w:val="0"/>
        <w:adjustRightInd w:val="0"/>
        <w:snapToGrid w:val="0"/>
        <w:spacing w:line="360"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2.健康服务。针对评估结果，结合老年人需求，每年提供至少1次的健康服务。具体参照《北京市社区老年健康服务规范》中的康复</w:t>
      </w:r>
      <w:r>
        <w:rPr>
          <w:rFonts w:hint="eastAsia" w:ascii="仿宋_GB2312" w:hAnsi="仿宋_GB2312" w:eastAsia="仿宋_GB2312" w:cs="仿宋_GB2312"/>
          <w:bCs/>
          <w:color w:val="auto"/>
          <w:sz w:val="32"/>
          <w:szCs w:val="32"/>
          <w:highlight w:val="none"/>
          <w:lang w:eastAsia="zh-Hans"/>
        </w:rPr>
        <w:t>护理</w:t>
      </w:r>
      <w:r>
        <w:rPr>
          <w:rFonts w:hint="eastAsia" w:ascii="仿宋_GB2312" w:hAnsi="仿宋_GB2312" w:eastAsia="仿宋_GB2312" w:cs="仿宋_GB2312"/>
          <w:bCs/>
          <w:color w:val="auto"/>
          <w:sz w:val="32"/>
          <w:szCs w:val="32"/>
          <w:highlight w:val="none"/>
        </w:rPr>
        <w:t>与长期照护的相关内容。</w:t>
      </w:r>
    </w:p>
    <w:p>
      <w:pPr>
        <w:widowControl w:val="0"/>
        <w:adjustRightInd w:val="0"/>
        <w:snapToGrid w:val="0"/>
        <w:spacing w:line="360" w:lineRule="auto"/>
        <w:ind w:firstLine="640" w:firstLineChars="200"/>
        <w:jc w:val="both"/>
        <w:textAlignment w:val="auto"/>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四、服务流程</w:t>
      </w:r>
    </w:p>
    <w:p>
      <w:pPr>
        <w:widowControl w:val="0"/>
        <w:spacing w:line="580" w:lineRule="exact"/>
        <w:ind w:firstLine="640" w:firstLineChars="200"/>
        <w:jc w:val="both"/>
        <w:textAlignment w:val="auto"/>
        <w:rPr>
          <w:rFonts w:hint="eastAsia" w:ascii="仿宋_GB2312" w:hAnsi="Times New Roman" w:eastAsia="仿宋_GB2312"/>
          <w:color w:val="auto"/>
          <w:sz w:val="32"/>
          <w:szCs w:val="32"/>
          <w:highlight w:val="none"/>
        </w:rPr>
      </w:pPr>
    </w:p>
    <w:p>
      <w:pPr>
        <w:widowControl w:val="0"/>
        <w:tabs>
          <w:tab w:val="left" w:pos="567"/>
        </w:tabs>
        <w:spacing w:line="360" w:lineRule="auto"/>
        <w:ind w:firstLine="0" w:firstLineChars="0"/>
        <w:jc w:val="center"/>
        <w:rPr>
          <w:rFonts w:ascii="Times New Roman" w:hAnsi="Times New Roman" w:eastAsia="楷体_GB2312" w:cs="Times New Roman"/>
          <w:bCs/>
          <w:color w:val="auto"/>
          <w:kern w:val="2"/>
          <w:sz w:val="32"/>
          <w:szCs w:val="32"/>
          <w:highlight w:val="none"/>
          <w:lang w:val="en-US" w:eastAsia="zh-CN" w:bidi="ar-SA"/>
        </w:rPr>
      </w:pPr>
      <w:r>
        <w:rPr>
          <w:rFonts w:hint="eastAsia" w:ascii="Times New Roman" w:hAnsi="Times New Roman" w:eastAsia="楷体_GB2312" w:cs="Times New Roman"/>
          <w:bCs/>
          <w:color w:val="auto"/>
          <w:kern w:val="2"/>
          <w:sz w:val="32"/>
          <w:szCs w:val="32"/>
          <w:highlight w:val="none"/>
          <w:lang w:val="en-US" w:eastAsia="zh-CN" w:bidi="ar-SA"/>
        </w:rPr>
        <w:drawing>
          <wp:inline distT="0" distB="0" distL="114300" distR="114300">
            <wp:extent cx="5618480" cy="5238115"/>
            <wp:effectExtent l="0" t="0" r="1270" b="635"/>
            <wp:docPr id="7" name="图片 4" descr="老年预防保健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老年预防保健流程"/>
                    <pic:cNvPicPr>
                      <a:picLocks noChangeAspect="1"/>
                    </pic:cNvPicPr>
                  </pic:nvPicPr>
                  <pic:blipFill>
                    <a:blip r:embed="rId10"/>
                    <a:stretch>
                      <a:fillRect/>
                    </a:stretch>
                  </pic:blipFill>
                  <pic:spPr>
                    <a:xfrm>
                      <a:off x="0" y="0"/>
                      <a:ext cx="5618480" cy="5238115"/>
                    </a:xfrm>
                    <a:prstGeom prst="rect">
                      <a:avLst/>
                    </a:prstGeom>
                    <a:noFill/>
                    <a:ln>
                      <a:noFill/>
                    </a:ln>
                  </pic:spPr>
                </pic:pic>
              </a:graphicData>
            </a:graphic>
          </wp:inline>
        </w:drawing>
      </w:r>
    </w:p>
    <w:p>
      <w:pPr>
        <w:widowControl w:val="0"/>
        <w:tabs>
          <w:tab w:val="left" w:pos="567"/>
        </w:tabs>
        <w:spacing w:line="360" w:lineRule="auto"/>
        <w:ind w:firstLine="0" w:firstLineChars="0"/>
        <w:jc w:val="center"/>
        <w:rPr>
          <w:rFonts w:ascii="Times New Roman" w:hAnsi="Times New Roman" w:eastAsia="楷体_GB2312" w:cs="Times New Roman"/>
          <w:bCs/>
          <w:color w:val="auto"/>
          <w:kern w:val="2"/>
          <w:sz w:val="28"/>
          <w:szCs w:val="28"/>
          <w:highlight w:val="none"/>
          <w:lang w:val="en-US" w:eastAsia="zh-CN" w:bidi="ar-SA"/>
        </w:rPr>
      </w:pPr>
      <w:r>
        <w:rPr>
          <w:rFonts w:hint="eastAsia" w:ascii="黑体" w:hAnsi="黑体" w:eastAsia="黑体" w:cs="黑体"/>
          <w:bCs/>
          <w:color w:val="auto"/>
          <w:kern w:val="2"/>
          <w:sz w:val="28"/>
          <w:szCs w:val="28"/>
          <w:highlight w:val="none"/>
          <w:lang w:val="en-US" w:eastAsia="zh-CN" w:bidi="ar-SA"/>
        </w:rPr>
        <w:t>图1</w:t>
      </w:r>
      <w:r>
        <w:rPr>
          <w:rFonts w:ascii="黑体" w:hAnsi="黑体" w:eastAsia="黑体" w:cs="黑体"/>
          <w:bCs/>
          <w:color w:val="auto"/>
          <w:kern w:val="2"/>
          <w:sz w:val="28"/>
          <w:szCs w:val="28"/>
          <w:highlight w:val="none"/>
          <w:lang w:val="en-US" w:eastAsia="zh-CN" w:bidi="ar-SA"/>
        </w:rPr>
        <w:t>.</w:t>
      </w:r>
      <w:r>
        <w:rPr>
          <w:rFonts w:hint="eastAsia" w:ascii="黑体" w:hAnsi="黑体" w:eastAsia="黑体" w:cs="黑体"/>
          <w:bCs/>
          <w:color w:val="auto"/>
          <w:kern w:val="2"/>
          <w:sz w:val="28"/>
          <w:szCs w:val="28"/>
          <w:highlight w:val="none"/>
          <w:lang w:val="en-US" w:eastAsia="zh-CN" w:bidi="ar-SA"/>
        </w:rPr>
        <w:t>为65岁及以上老年人提供医养结合服务流程图</w:t>
      </w:r>
    </w:p>
    <w:p>
      <w:pPr>
        <w:widowControl w:val="0"/>
        <w:tabs>
          <w:tab w:val="left" w:pos="567"/>
        </w:tabs>
        <w:spacing w:line="360" w:lineRule="auto"/>
        <w:ind w:firstLine="0" w:firstLineChars="0"/>
        <w:jc w:val="center"/>
        <w:rPr>
          <w:rFonts w:hint="eastAsia" w:ascii="Times New Roman" w:hAnsi="Times New Roman" w:eastAsia="楷体_GB2312" w:cs="Times New Roman"/>
          <w:bCs/>
          <w:color w:val="auto"/>
          <w:kern w:val="2"/>
          <w:sz w:val="32"/>
          <w:szCs w:val="32"/>
          <w:highlight w:val="none"/>
          <w:lang w:val="en-US" w:eastAsia="zh-CN" w:bidi="ar-SA"/>
        </w:rPr>
      </w:pPr>
    </w:p>
    <w:p>
      <w:pPr>
        <w:widowControl w:val="0"/>
        <w:tabs>
          <w:tab w:val="left" w:pos="567"/>
        </w:tabs>
        <w:spacing w:line="360" w:lineRule="auto"/>
        <w:jc w:val="center"/>
        <w:textAlignment w:val="auto"/>
        <w:rPr>
          <w:rFonts w:hint="eastAsia" w:ascii="Times New Roman" w:hAnsi="Times New Roman" w:eastAsia="宋体"/>
          <w:b/>
          <w:color w:val="auto"/>
          <w:sz w:val="32"/>
          <w:szCs w:val="32"/>
          <w:highlight w:val="none"/>
        </w:rPr>
      </w:pPr>
      <w:r>
        <w:rPr>
          <w:rFonts w:ascii="Times New Roman" w:hAnsi="Times New Roman" w:eastAsia="宋体"/>
          <w:b/>
          <w:color w:val="auto"/>
          <w:sz w:val="32"/>
          <w:szCs w:val="32"/>
          <w:highlight w:val="none"/>
        </w:rPr>
        <w:br w:type="page"/>
      </w:r>
      <w:r>
        <w:rPr>
          <w:rFonts w:hint="eastAsia" w:ascii="Times New Roman" w:hAnsi="Times New Roman" w:eastAsia="宋体"/>
          <w:b/>
          <w:color w:val="auto"/>
          <w:sz w:val="32"/>
          <w:szCs w:val="32"/>
          <w:highlight w:val="none"/>
        </w:rPr>
        <w:drawing>
          <wp:inline distT="0" distB="0" distL="114300" distR="114300">
            <wp:extent cx="5581650" cy="6595110"/>
            <wp:effectExtent l="0" t="0" r="0" b="15240"/>
            <wp:docPr id="8" name="图片 5" descr="老年预防保健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老年预防保健流程"/>
                    <pic:cNvPicPr>
                      <a:picLocks noChangeAspect="1"/>
                    </pic:cNvPicPr>
                  </pic:nvPicPr>
                  <pic:blipFill>
                    <a:blip r:embed="rId11"/>
                    <a:stretch>
                      <a:fillRect/>
                    </a:stretch>
                  </pic:blipFill>
                  <pic:spPr>
                    <a:xfrm>
                      <a:off x="0" y="0"/>
                      <a:ext cx="5581650" cy="6595110"/>
                    </a:xfrm>
                    <a:prstGeom prst="rect">
                      <a:avLst/>
                    </a:prstGeom>
                    <a:noFill/>
                    <a:ln>
                      <a:noFill/>
                    </a:ln>
                  </pic:spPr>
                </pic:pic>
              </a:graphicData>
            </a:graphic>
          </wp:inline>
        </w:drawing>
      </w:r>
    </w:p>
    <w:p>
      <w:pPr>
        <w:widowControl w:val="0"/>
        <w:tabs>
          <w:tab w:val="left" w:pos="567"/>
        </w:tabs>
        <w:spacing w:line="360" w:lineRule="auto"/>
        <w:ind w:firstLine="0" w:firstLineChars="0"/>
        <w:jc w:val="center"/>
        <w:rPr>
          <w:rFonts w:ascii="黑体" w:hAnsi="黑体" w:eastAsia="黑体" w:cs="黑体"/>
          <w:bCs/>
          <w:color w:val="auto"/>
          <w:kern w:val="2"/>
          <w:sz w:val="28"/>
          <w:szCs w:val="28"/>
          <w:highlight w:val="none"/>
          <w:lang w:val="en-US" w:eastAsia="zh-CN" w:bidi="ar-SA"/>
        </w:rPr>
      </w:pPr>
      <w:r>
        <w:rPr>
          <w:rFonts w:hint="eastAsia" w:ascii="黑体" w:hAnsi="黑体" w:eastAsia="黑体" w:cs="黑体"/>
          <w:bCs/>
          <w:color w:val="auto"/>
          <w:kern w:val="2"/>
          <w:sz w:val="28"/>
          <w:szCs w:val="28"/>
          <w:highlight w:val="none"/>
          <w:lang w:val="en-US" w:eastAsia="zh-CN" w:bidi="ar-SA"/>
        </w:rPr>
        <w:t>图</w:t>
      </w:r>
      <w:r>
        <w:rPr>
          <w:rFonts w:ascii="黑体" w:hAnsi="黑体" w:eastAsia="黑体" w:cs="黑体"/>
          <w:bCs/>
          <w:color w:val="auto"/>
          <w:kern w:val="2"/>
          <w:sz w:val="28"/>
          <w:szCs w:val="28"/>
          <w:highlight w:val="none"/>
          <w:lang w:val="en-US" w:eastAsia="zh-CN" w:bidi="ar-SA"/>
        </w:rPr>
        <w:t>2.</w:t>
      </w:r>
      <w:r>
        <w:rPr>
          <w:rFonts w:hint="eastAsia" w:ascii="黑体" w:hAnsi="黑体" w:eastAsia="黑体" w:cs="黑体"/>
          <w:bCs/>
          <w:color w:val="auto"/>
          <w:kern w:val="2"/>
          <w:sz w:val="28"/>
          <w:szCs w:val="28"/>
          <w:highlight w:val="none"/>
          <w:lang w:val="en-US" w:eastAsia="zh-CN" w:bidi="ar-SA"/>
        </w:rPr>
        <w:t>失能老年人健康评估服务流程图</w:t>
      </w:r>
    </w:p>
    <w:p>
      <w:pPr>
        <w:widowControl w:val="0"/>
        <w:adjustRightInd w:val="0"/>
        <w:snapToGrid w:val="0"/>
        <w:spacing w:line="348" w:lineRule="auto"/>
        <w:ind w:firstLine="640" w:firstLineChars="200"/>
        <w:jc w:val="both"/>
        <w:textAlignment w:val="auto"/>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br w:type="page"/>
      </w:r>
      <w:r>
        <w:rPr>
          <w:rFonts w:hint="eastAsia" w:ascii="Times New Roman" w:hAnsi="Times New Roman" w:eastAsia="黑体"/>
          <w:color w:val="auto"/>
          <w:sz w:val="32"/>
          <w:szCs w:val="32"/>
          <w:highlight w:val="none"/>
        </w:rPr>
        <w:t>五、组织实施</w:t>
      </w:r>
    </w:p>
    <w:p>
      <w:pPr>
        <w:widowControl w:val="0"/>
        <w:adjustRightInd w:val="0"/>
        <w:snapToGrid w:val="0"/>
        <w:spacing w:line="348" w:lineRule="auto"/>
        <w:ind w:firstLine="640" w:firstLineChars="200"/>
        <w:jc w:val="both"/>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（一）组织机制</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市卫生健康委根据国家卫生健康委《新划入基本公共卫生服务相关工作规范（2019年版）》有关要求，制定本市的工作规范，并对项目实施情况进行管理；各区卫生健康委和经开区社会事业局指导本辖区有关机构按照规范完成项目工作任务，组织区级考核，并接受市卫生健康委的考核。</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基层医疗卫生机构是承担服务任务的重要主体，对辖区内65岁及以上老年人提供医养结合与失能老年人健康评估和健康服务，按照规定合理使用和管理经费，接受本区卫生健康委（经济开发区社会事业局）考核。</w:t>
      </w:r>
    </w:p>
    <w:p>
      <w:pPr>
        <w:widowControl w:val="0"/>
        <w:adjustRightInd w:val="0"/>
        <w:snapToGrid w:val="0"/>
        <w:spacing w:line="348" w:lineRule="auto"/>
        <w:ind w:firstLine="640" w:firstLineChars="200"/>
        <w:jc w:val="both"/>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（二）项目实施条件</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对老年人进行医养结合服务及对失能老年人进行健康评估与健康服务的基层医疗卫生机构人员，应是取得资质的专业医护人员。</w:t>
      </w:r>
    </w:p>
    <w:p>
      <w:pPr>
        <w:widowControl w:val="0"/>
        <w:adjustRightInd w:val="0"/>
        <w:snapToGrid w:val="0"/>
        <w:spacing w:line="348" w:lineRule="auto"/>
        <w:ind w:firstLine="640" w:firstLineChars="200"/>
        <w:jc w:val="both"/>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（三）项目经费保障</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基本公共卫生经费统筹使用，资金使用对象为基层医疗卫生机构，包含65岁及以上老年人医养结合服务、失能老年人评估与健康服务。各区要严格执行相关规定，加强资金监管，并落实督导、培训等工作经费，保障项目顺利实施。</w:t>
      </w:r>
    </w:p>
    <w:p>
      <w:pPr>
        <w:widowControl w:val="0"/>
        <w:adjustRightInd w:val="0"/>
        <w:snapToGrid w:val="0"/>
        <w:spacing w:line="348" w:lineRule="auto"/>
        <w:ind w:firstLine="640" w:firstLineChars="200"/>
        <w:jc w:val="both"/>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（四）信息化应用</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将65岁及以上老年人医养结合服务信息纳入国家基本公共卫生服务管理平台，进行信息化管理。机构应将失能老年人健康评估服务信息，及时录入失能老年人健康评估与健康服务信息系统，并做好数据信息的及时更新、上报等工作。</w:t>
      </w:r>
    </w:p>
    <w:p>
      <w:pPr>
        <w:widowControl w:val="0"/>
        <w:tabs>
          <w:tab w:val="center" w:pos="4425"/>
        </w:tabs>
        <w:adjustRightInd w:val="0"/>
        <w:snapToGrid w:val="0"/>
        <w:spacing w:line="348" w:lineRule="auto"/>
        <w:ind w:firstLine="640" w:firstLineChars="200"/>
        <w:jc w:val="both"/>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（五）其他要求</w:t>
      </w:r>
      <w:r>
        <w:rPr>
          <w:rFonts w:hint="eastAsia" w:ascii="楷体_GB2312" w:hAnsi="楷体_GB2312" w:eastAsia="楷体_GB2312" w:cs="楷体_GB2312"/>
          <w:bCs/>
          <w:color w:val="auto"/>
          <w:sz w:val="32"/>
          <w:szCs w:val="32"/>
          <w:highlight w:val="none"/>
        </w:rPr>
        <w:tab/>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1.项目实施过程中要充分尊重老年人的自主意愿，并注重与65岁以上老年人</w:t>
      </w:r>
      <w:r>
        <w:rPr>
          <w:rFonts w:hint="eastAsia" w:ascii="仿宋_GB2312" w:hAnsi="仿宋_GB2312" w:eastAsia="仿宋_GB2312" w:cs="仿宋_GB2312"/>
          <w:color w:val="auto"/>
          <w:sz w:val="32"/>
          <w:szCs w:val="32"/>
          <w:highlight w:val="none"/>
        </w:rPr>
        <w:t>城乡社区规范</w:t>
      </w:r>
      <w:r>
        <w:rPr>
          <w:rFonts w:hint="eastAsia" w:ascii="仿宋_GB2312" w:hAnsi="仿宋_GB2312" w:eastAsia="仿宋_GB2312" w:cs="仿宋_GB2312"/>
          <w:bCs/>
          <w:color w:val="auto"/>
          <w:sz w:val="32"/>
          <w:szCs w:val="32"/>
          <w:highlight w:val="none"/>
        </w:rPr>
        <w:t>健康管理</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bCs/>
          <w:color w:val="auto"/>
          <w:sz w:val="32"/>
          <w:szCs w:val="32"/>
          <w:highlight w:val="none"/>
        </w:rPr>
        <w:t>、家庭医生签约服务、中医药健康管理服务和高血压、2型糖尿病患者健康管理服务等工作的衔接，避免服务项目的重复，注重提升居民的获得感。</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机构应开设方便老年人挂号、就医等便利服务的绿色通道，设置老年人就诊服务处，配置明显标识，配备专兼职人员进行引导服务，配备轮椅等必需的转运工具，为老年人就医提供便利服务。统筹利用辖区资源，与养老服务机构、辖区二、三级医院等建立工作协作机制，为老年人提供连续、全流程健康服务。</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3.要积极组织开展针对基层医疗卫生机构医养结合与失能老年人健康评估服务人员及照护者的技能培训，不断提升基层医养结合与失能老年人健康评估服务人员及照护者的服务水平。</w:t>
      </w:r>
    </w:p>
    <w:p>
      <w:pPr>
        <w:widowControl w:val="0"/>
        <w:adjustRightInd w:val="0"/>
        <w:snapToGrid w:val="0"/>
        <w:spacing w:line="348" w:lineRule="auto"/>
        <w:ind w:firstLine="640" w:firstLineChars="200"/>
        <w:jc w:val="both"/>
        <w:textAlignment w:val="auto"/>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六、工作指标</w:t>
      </w:r>
    </w:p>
    <w:p>
      <w:pPr>
        <w:widowControl w:val="0"/>
        <w:adjustRightInd w:val="0"/>
        <w:snapToGrid w:val="0"/>
        <w:spacing w:line="348" w:lineRule="auto"/>
        <w:ind w:firstLine="640" w:firstLineChars="200"/>
        <w:jc w:val="both"/>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（一）65岁及以上老年人医养结合服务率</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指标定义：年内辖区内接受医养结合服务的65岁及以上老年人人数占辖区内老年人总数的比例。</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测算公式：65岁及以上老年人医养结合服务率=年内辖区内65岁及以上老年人中接受两次医养结合服务的人数/辖区内65岁及以上老年人总数×100%。</w:t>
      </w:r>
    </w:p>
    <w:p>
      <w:pPr>
        <w:widowControl w:val="0"/>
        <w:adjustRightInd w:val="0"/>
        <w:snapToGrid w:val="0"/>
        <w:spacing w:line="348" w:lineRule="auto"/>
        <w:ind w:firstLine="640" w:firstLineChars="200"/>
        <w:jc w:val="both"/>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（二）65岁及以上失能老年人健康服务率</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指标定义：年内辖区内接受健康服务的失能老年人人数占辖区内接受健康评估的65岁以上失能老年人总数的比例。</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测算公式：失能老年人健康服务率=年内辖区内接受健康服务的失能老年人人数/辖区内接受健康评估的失能老年人人数×100%。其中：辖区内接受健康评估的失能老年人人数为辖区内主动</w:t>
      </w:r>
      <w:r>
        <w:rPr>
          <w:rFonts w:hint="eastAsia" w:ascii="仿宋_GB2312" w:hAnsi="仿宋_GB2312" w:eastAsia="仿宋_GB2312" w:cs="仿宋_GB2312"/>
          <w:bCs/>
          <w:color w:val="auto"/>
          <w:sz w:val="32"/>
          <w:szCs w:val="32"/>
          <w:highlight w:val="none"/>
          <w:lang w:eastAsia="zh-Hans"/>
        </w:rPr>
        <w:t>提出失能老年人上门健康评估申请</w:t>
      </w:r>
      <w:r>
        <w:rPr>
          <w:rFonts w:hint="eastAsia" w:ascii="仿宋_GB2312" w:hAnsi="仿宋_GB2312" w:eastAsia="仿宋_GB2312" w:cs="仿宋_GB2312"/>
          <w:bCs/>
          <w:color w:val="auto"/>
          <w:sz w:val="32"/>
          <w:szCs w:val="32"/>
          <w:highlight w:val="none"/>
        </w:rPr>
        <w:t>的</w:t>
      </w:r>
      <w:r>
        <w:rPr>
          <w:rFonts w:ascii="仿宋_GB2312" w:hAnsi="仿宋_GB2312" w:eastAsia="仿宋_GB2312" w:cs="仿宋_GB2312"/>
          <w:bCs/>
          <w:color w:val="auto"/>
          <w:sz w:val="32"/>
          <w:szCs w:val="32"/>
          <w:highlight w:val="none"/>
        </w:rPr>
        <w:t>65</w:t>
      </w:r>
      <w:r>
        <w:rPr>
          <w:rFonts w:hint="eastAsia" w:ascii="仿宋_GB2312" w:hAnsi="仿宋_GB2312" w:eastAsia="仿宋_GB2312" w:cs="仿宋_GB2312"/>
          <w:bCs/>
          <w:color w:val="auto"/>
          <w:sz w:val="32"/>
          <w:szCs w:val="32"/>
          <w:highlight w:val="none"/>
          <w:lang w:eastAsia="zh-Hans"/>
        </w:rPr>
        <w:t>岁及以上</w:t>
      </w:r>
      <w:r>
        <w:rPr>
          <w:rFonts w:hint="eastAsia" w:ascii="仿宋_GB2312" w:hAnsi="仿宋_GB2312" w:eastAsia="仿宋_GB2312" w:cs="仿宋_GB2312"/>
          <w:bCs/>
          <w:color w:val="auto"/>
          <w:sz w:val="32"/>
          <w:szCs w:val="32"/>
          <w:highlight w:val="none"/>
        </w:rPr>
        <w:t>老年人和接受老年人健康管理服务“老年人生活自理能力评估表”</w:t>
      </w:r>
      <w:r>
        <w:rPr>
          <w:rFonts w:hint="eastAsia" w:ascii="仿宋_GB2312" w:hAnsi="仿宋_GB2312" w:eastAsia="仿宋_GB2312" w:cs="仿宋_GB2312"/>
          <w:bCs/>
          <w:color w:val="auto"/>
          <w:sz w:val="32"/>
          <w:szCs w:val="32"/>
          <w:highlight w:val="none"/>
          <w:lang w:eastAsia="zh-Hans"/>
        </w:rPr>
        <w:t>评分</w:t>
      </w:r>
      <w:r>
        <w:rPr>
          <w:rFonts w:ascii="Arial" w:hAnsi="Arial" w:eastAsia="仿宋_GB2312" w:cs="Arial"/>
          <w:bCs/>
          <w:color w:val="auto"/>
          <w:sz w:val="32"/>
          <w:szCs w:val="32"/>
          <w:highlight w:val="none"/>
        </w:rPr>
        <w:t>≥</w:t>
      </w:r>
      <w:r>
        <w:rPr>
          <w:rFonts w:hint="eastAsia" w:ascii="Arial" w:hAnsi="Arial" w:eastAsia="仿宋_GB2312" w:cs="Arial"/>
          <w:bCs/>
          <w:color w:val="auto"/>
          <w:sz w:val="32"/>
          <w:szCs w:val="32"/>
          <w:highlight w:val="none"/>
        </w:rPr>
        <w:t>4分的老年人。</w:t>
      </w:r>
    </w:p>
    <w:p>
      <w:pPr>
        <w:widowControl w:val="0"/>
        <w:adjustRightInd w:val="0"/>
        <w:snapToGrid w:val="0"/>
        <w:spacing w:line="348" w:lineRule="auto"/>
        <w:ind w:firstLine="640" w:firstLineChars="200"/>
        <w:jc w:val="both"/>
        <w:textAlignment w:val="auto"/>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七、项目考核与评估</w:t>
      </w:r>
    </w:p>
    <w:p>
      <w:pPr>
        <w:widowControl w:val="0"/>
        <w:adjustRightInd w:val="0"/>
        <w:snapToGrid w:val="0"/>
        <w:spacing w:line="348" w:lineRule="auto"/>
        <w:ind w:firstLine="640" w:firstLineChars="200"/>
        <w:jc w:val="both"/>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（一）考核对象</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市卫生健康委考核对象为各区卫生健康委和经开区社会事业局。各区考核对象为本辖区基层医疗卫生机构。</w:t>
      </w:r>
    </w:p>
    <w:p>
      <w:pPr>
        <w:widowControl w:val="0"/>
        <w:adjustRightInd w:val="0"/>
        <w:snapToGrid w:val="0"/>
        <w:spacing w:line="348" w:lineRule="auto"/>
        <w:ind w:firstLine="640" w:firstLineChars="200"/>
        <w:jc w:val="both"/>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（二）考核内容</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1.项目组织管理情况。主要包括对项目的重视程度、组织协调力度、管理制度的制定与落实等。</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2.项目资金管理情况。主要包括各区卫生健康委（经开区社会事业局）资金拨付、工作经费安排等情况，基层医疗卫生机构的预算执行、财务管理等情况。</w:t>
      </w:r>
    </w:p>
    <w:p>
      <w:pPr>
        <w:widowControl w:val="0"/>
        <w:adjustRightInd w:val="0"/>
        <w:snapToGrid w:val="0"/>
        <w:spacing w:line="348" w:lineRule="auto"/>
        <w:ind w:firstLine="640" w:firstLineChars="200"/>
        <w:jc w:val="both"/>
        <w:textAlignment w:val="auto"/>
        <w:rPr>
          <w:rFonts w:ascii="Times New Roman" w:hAnsi="Times New Roman" w:eastAsia="仿宋_GB2312"/>
          <w:color w:val="auto"/>
          <w:sz w:val="30"/>
          <w:szCs w:val="30"/>
          <w:highlight w:val="none"/>
        </w:rPr>
      </w:pPr>
      <w:r>
        <w:rPr>
          <w:rFonts w:hint="eastAsia" w:ascii="仿宋_GB2312" w:hAnsi="仿宋_GB2312" w:eastAsia="仿宋_GB2312" w:cs="仿宋_GB2312"/>
          <w:bCs/>
          <w:color w:val="auto"/>
          <w:sz w:val="32"/>
          <w:szCs w:val="32"/>
          <w:highlight w:val="none"/>
        </w:rPr>
        <w:t>3.各项工作任务完成情况。主要包括2项指标的完成数量。</w:t>
      </w:r>
    </w:p>
    <w:p>
      <w:pPr>
        <w:widowControl w:val="0"/>
        <w:adjustRightInd w:val="0"/>
        <w:snapToGrid w:val="0"/>
        <w:spacing w:line="348" w:lineRule="auto"/>
        <w:ind w:firstLine="640" w:firstLineChars="200"/>
        <w:jc w:val="both"/>
        <w:textAlignment w:val="auto"/>
        <w:rPr>
          <w:rFonts w:hint="eastAsia"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（三）考核办法</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考核一般采取听取汇报、查阅资料、现场核查、问卷调查、电话调查、入户访谈等形式进行。电话调查可委托第三方开展，也可以根据实际情况，由考核组同步实施。</w:t>
      </w:r>
    </w:p>
    <w:p>
      <w:pPr>
        <w:widowControl w:val="0"/>
        <w:adjustRightInd w:val="0"/>
        <w:snapToGrid w:val="0"/>
        <w:spacing w:line="348" w:lineRule="auto"/>
        <w:ind w:firstLine="640" w:firstLineChars="200"/>
        <w:jc w:val="both"/>
        <w:textAlignment w:val="auto"/>
        <w:rPr>
          <w:rFonts w:hint="eastAsia"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八、附录</w:t>
      </w:r>
    </w:p>
    <w:p>
      <w:pPr>
        <w:widowControl w:val="0"/>
        <w:adjustRightInd w:val="0"/>
        <w:snapToGrid w:val="0"/>
        <w:spacing w:line="348"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1.失能老年人上门健康评估申请表</w:t>
      </w:r>
    </w:p>
    <w:p>
      <w:pPr>
        <w:widowControl w:val="0"/>
        <w:adjustRightInd w:val="0"/>
        <w:snapToGrid w:val="0"/>
        <w:spacing w:line="348" w:lineRule="auto"/>
        <w:ind w:firstLine="640"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2.老年人能力评估标准表（试行）</w:t>
      </w:r>
    </w:p>
    <w:p>
      <w:pPr>
        <w:widowControl w:val="0"/>
        <w:adjustRightInd w:val="0"/>
        <w:snapToGrid w:val="0"/>
        <w:spacing w:line="348" w:lineRule="auto"/>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3.老年综合征罹患情况（试行）</w:t>
      </w:r>
    </w:p>
    <w:p>
      <w:pPr>
        <w:widowControl w:val="0"/>
        <w:adjustRightInd w:val="0"/>
        <w:snapToGrid w:val="0"/>
        <w:spacing w:line="240" w:lineRule="auto"/>
        <w:jc w:val="both"/>
        <w:textAlignment w:val="auto"/>
        <w:rPr>
          <w:rFonts w:ascii="黑体" w:hAnsi="黑体" w:eastAsia="黑体"/>
          <w:color w:val="auto"/>
          <w:sz w:val="32"/>
          <w:szCs w:val="32"/>
          <w:highlight w:val="none"/>
        </w:rPr>
      </w:pPr>
      <w:r>
        <w:rPr>
          <w:rFonts w:hint="eastAsia" w:ascii="Times New Roman" w:hAnsi="Times New Roman" w:eastAsia="宋体"/>
          <w:b/>
          <w:bCs/>
          <w:color w:val="auto"/>
          <w:sz w:val="32"/>
          <w:szCs w:val="32"/>
          <w:highlight w:val="none"/>
        </w:rPr>
        <w:br w:type="page"/>
      </w:r>
      <w:r>
        <w:rPr>
          <w:rFonts w:hint="eastAsia" w:ascii="Times New Roman" w:hAnsi="Times New Roman" w:eastAsia="黑体"/>
          <w:color w:val="auto"/>
          <w:sz w:val="32"/>
          <w:szCs w:val="32"/>
          <w:highlight w:val="none"/>
        </w:rPr>
        <w:t>附录</w:t>
      </w:r>
      <w:r>
        <w:rPr>
          <w:rFonts w:hint="eastAsia" w:ascii="黑体" w:hAnsi="黑体" w:eastAsia="黑体"/>
          <w:color w:val="auto"/>
          <w:sz w:val="32"/>
          <w:szCs w:val="32"/>
          <w:highlight w:val="none"/>
        </w:rPr>
        <w:t>1</w:t>
      </w:r>
    </w:p>
    <w:p>
      <w:pPr>
        <w:widowControl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失能老年人上门健康评估申请表</w:t>
      </w:r>
    </w:p>
    <w:p>
      <w:pPr>
        <w:widowControl w:val="0"/>
        <w:adjustRightInd w:val="0"/>
        <w:snapToGrid w:val="0"/>
        <w:spacing w:line="240" w:lineRule="auto"/>
        <w:jc w:val="both"/>
        <w:textAlignment w:val="auto"/>
        <w:rPr>
          <w:rFonts w:ascii="黑体" w:hAnsi="黑体" w:eastAsia="黑体" w:cs="黑体"/>
          <w:b/>
          <w:color w:val="auto"/>
          <w:sz w:val="28"/>
          <w:szCs w:val="32"/>
          <w:highlight w:val="none"/>
        </w:rPr>
      </w:pPr>
      <w:r>
        <w:rPr>
          <w:rFonts w:hint="eastAsia" w:ascii="黑体" w:hAnsi="黑体" w:eastAsia="黑体" w:cs="黑体"/>
          <w:b/>
          <w:color w:val="auto"/>
          <w:sz w:val="28"/>
          <w:szCs w:val="32"/>
          <w:highlight w:val="none"/>
        </w:rPr>
        <w:t>机构名称：                                      编号：</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63"/>
        <w:gridCol w:w="711"/>
        <w:gridCol w:w="521"/>
        <w:gridCol w:w="582"/>
        <w:gridCol w:w="566"/>
        <w:gridCol w:w="590"/>
        <w:gridCol w:w="725"/>
        <w:gridCol w:w="84"/>
        <w:gridCol w:w="756"/>
        <w:gridCol w:w="15"/>
        <w:gridCol w:w="283"/>
        <w:gridCol w:w="993"/>
        <w:gridCol w:w="96"/>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49" w:type="dxa"/>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申请人姓名</w:t>
            </w:r>
          </w:p>
        </w:tc>
        <w:tc>
          <w:tcPr>
            <w:tcW w:w="1474" w:type="dxa"/>
            <w:gridSpan w:val="2"/>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c>
          <w:tcPr>
            <w:tcW w:w="521" w:type="dxa"/>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性别</w:t>
            </w:r>
          </w:p>
        </w:tc>
        <w:tc>
          <w:tcPr>
            <w:tcW w:w="582" w:type="dxa"/>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男</w:t>
            </w:r>
          </w:p>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女</w:t>
            </w:r>
          </w:p>
        </w:tc>
        <w:tc>
          <w:tcPr>
            <w:tcW w:w="566" w:type="dxa"/>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年龄</w:t>
            </w:r>
          </w:p>
        </w:tc>
        <w:tc>
          <w:tcPr>
            <w:tcW w:w="590" w:type="dxa"/>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c>
          <w:tcPr>
            <w:tcW w:w="725" w:type="dxa"/>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身份</w:t>
            </w:r>
          </w:p>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证号</w:t>
            </w:r>
          </w:p>
        </w:tc>
        <w:tc>
          <w:tcPr>
            <w:tcW w:w="4413" w:type="dxa"/>
            <w:gridSpan w:val="7"/>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49" w:type="dxa"/>
            <w:noWrap w:val="0"/>
            <w:vAlign w:val="top"/>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家庭住址</w:t>
            </w:r>
          </w:p>
        </w:tc>
        <w:tc>
          <w:tcPr>
            <w:tcW w:w="3143" w:type="dxa"/>
            <w:gridSpan w:val="5"/>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c>
          <w:tcPr>
            <w:tcW w:w="1315" w:type="dxa"/>
            <w:gridSpan w:val="2"/>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家庭电话</w:t>
            </w:r>
          </w:p>
        </w:tc>
        <w:tc>
          <w:tcPr>
            <w:tcW w:w="1138" w:type="dxa"/>
            <w:gridSpan w:val="4"/>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c>
          <w:tcPr>
            <w:tcW w:w="993" w:type="dxa"/>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家庭医生签约情况</w:t>
            </w:r>
          </w:p>
        </w:tc>
        <w:tc>
          <w:tcPr>
            <w:tcW w:w="2282" w:type="dxa"/>
            <w:gridSpan w:val="2"/>
            <w:noWrap w:val="0"/>
            <w:vAlign w:val="top"/>
          </w:tcPr>
          <w:p>
            <w:pPr>
              <w:widowControl w:val="0"/>
              <w:adjustRightInd w:val="0"/>
              <w:snapToGrid w:val="0"/>
              <w:spacing w:line="240" w:lineRule="auto"/>
              <w:jc w:val="both"/>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1.已签约</w:t>
            </w:r>
          </w:p>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2.未签约</w:t>
            </w:r>
          </w:p>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签约医生：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49" w:type="dxa"/>
            <w:noWrap w:val="0"/>
            <w:vAlign w:val="top"/>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居住方式</w:t>
            </w:r>
          </w:p>
        </w:tc>
        <w:tc>
          <w:tcPr>
            <w:tcW w:w="3143" w:type="dxa"/>
            <w:gridSpan w:val="5"/>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1.独居 2.夫妻居住 3.和子女一起居4.保姆照料</w:t>
            </w:r>
          </w:p>
        </w:tc>
        <w:tc>
          <w:tcPr>
            <w:tcW w:w="1315" w:type="dxa"/>
            <w:gridSpan w:val="2"/>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联系人/监护人</w:t>
            </w:r>
          </w:p>
        </w:tc>
        <w:tc>
          <w:tcPr>
            <w:tcW w:w="1138" w:type="dxa"/>
            <w:gridSpan w:val="4"/>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c>
          <w:tcPr>
            <w:tcW w:w="993" w:type="dxa"/>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联系人电话</w:t>
            </w:r>
          </w:p>
        </w:tc>
        <w:tc>
          <w:tcPr>
            <w:tcW w:w="2282" w:type="dxa"/>
            <w:gridSpan w:val="2"/>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49" w:type="dxa"/>
            <w:vMerge w:val="restart"/>
            <w:noWrap w:val="0"/>
            <w:vAlign w:val="center"/>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健康状况</w:t>
            </w:r>
          </w:p>
        </w:tc>
        <w:tc>
          <w:tcPr>
            <w:tcW w:w="8871" w:type="dxa"/>
            <w:gridSpan w:val="14"/>
            <w:noWrap w:val="0"/>
            <w:vAlign w:val="center"/>
          </w:tcPr>
          <w:p>
            <w:pPr>
              <w:widowControl w:val="0"/>
              <w:numPr>
                <w:ilvl w:val="0"/>
                <w:numId w:val="3"/>
              </w:numPr>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患病情况：（可多选）①高血压 ②糖尿病 ③冠心病 ④脑血管病 ⑤COPD ⑥肿瘤 ⑦骨关节病 ⑧其他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49" w:type="dxa"/>
            <w:vMerge w:val="continue"/>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c>
          <w:tcPr>
            <w:tcW w:w="8871" w:type="dxa"/>
            <w:gridSpan w:val="14"/>
            <w:noWrap w:val="0"/>
            <w:vAlign w:val="center"/>
          </w:tcPr>
          <w:p>
            <w:pPr>
              <w:widowControl w:val="0"/>
              <w:numPr>
                <w:ilvl w:val="0"/>
                <w:numId w:val="3"/>
              </w:numPr>
              <w:adjustRightInd w:val="0"/>
              <w:snapToGrid w:val="0"/>
              <w:ind w:firstLine="0" w:firstLineChars="0"/>
              <w:jc w:val="both"/>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2"/>
                <w:highlight w:val="none"/>
                <w:lang w:val="en-US" w:eastAsia="zh-CN" w:bidi="ar-SA"/>
              </w:rPr>
              <w:t>老年人生活自理能力评估表</w:t>
            </w:r>
            <w:r>
              <w:rPr>
                <w:rFonts w:hint="eastAsia" w:ascii="仿宋_GB2312" w:hAnsi="仿宋_GB2312" w:eastAsia="仿宋_GB2312" w:cs="仿宋_GB2312"/>
                <w:color w:val="auto"/>
                <w:kern w:val="2"/>
                <w:sz w:val="24"/>
                <w:szCs w:val="24"/>
                <w:highlight w:val="none"/>
                <w:lang w:val="en-US" w:eastAsia="zh-CN" w:bidi="ar-SA"/>
              </w:rPr>
              <w:t>评分：</w:t>
            </w:r>
          </w:p>
          <w:p>
            <w:pPr>
              <w:widowControl w:val="0"/>
              <w:adjustRightInd w:val="0"/>
              <w:snapToGrid w:val="0"/>
              <w:ind w:firstLine="0" w:firstLineChars="0"/>
              <w:jc w:val="both"/>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（选择①、②暂不开展上门健康评估服务）</w:t>
            </w:r>
          </w:p>
          <w:p>
            <w:pPr>
              <w:widowControl w:val="0"/>
              <w:adjustRightInd w:val="0"/>
              <w:snapToGrid w:val="0"/>
              <w:ind w:firstLine="0" w:firstLineChars="0"/>
              <w:jc w:val="both"/>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①0-3分  ②4-8分  ③9-18分  ④≧19分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49" w:type="dxa"/>
            <w:vMerge w:val="continue"/>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c>
          <w:tcPr>
            <w:tcW w:w="8871" w:type="dxa"/>
            <w:gridSpan w:val="14"/>
            <w:noWrap w:val="0"/>
            <w:vAlign w:val="center"/>
          </w:tcPr>
          <w:p>
            <w:pPr>
              <w:widowControl w:val="0"/>
              <w:numPr>
                <w:ilvl w:val="0"/>
                <w:numId w:val="3"/>
              </w:numPr>
              <w:adjustRightInd w:val="0"/>
              <w:snapToGrid w:val="0"/>
              <w:ind w:firstLine="0" w:firstLineChars="0"/>
              <w:jc w:val="both"/>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申请者目前是否存在急、危、重症等需要抢救治疗情况：</w:t>
            </w:r>
            <w:r>
              <w:rPr>
                <w:rFonts w:hint="eastAsia" w:ascii="仿宋_GB2312" w:hAnsi="仿宋_GB2312" w:eastAsia="仿宋_GB2312" w:cs="仿宋_GB2312"/>
                <w:b/>
                <w:bCs/>
                <w:color w:val="auto"/>
                <w:kern w:val="2"/>
                <w:sz w:val="24"/>
                <w:szCs w:val="24"/>
                <w:highlight w:val="none"/>
                <w:lang w:val="en-US" w:eastAsia="zh-CN" w:bidi="ar-SA"/>
              </w:rPr>
              <w:t>（选择①的暂不开展上门健康评估服务）</w:t>
            </w:r>
          </w:p>
          <w:p>
            <w:pPr>
              <w:widowControl w:val="0"/>
              <w:adjustRightInd w:val="0"/>
              <w:snapToGrid w:val="0"/>
              <w:spacing w:line="240" w:lineRule="auto"/>
              <w:jc w:val="both"/>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①是  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49" w:type="dxa"/>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上门健康评估</w:t>
            </w:r>
          </w:p>
        </w:tc>
        <w:tc>
          <w:tcPr>
            <w:tcW w:w="5313" w:type="dxa"/>
            <w:gridSpan w:val="10"/>
            <w:noWrap w:val="0"/>
            <w:vAlign w:val="center"/>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申请人家庭/监护人/陪护者能否配合上门评估</w:t>
            </w:r>
          </w:p>
          <w:p>
            <w:pPr>
              <w:widowControl w:val="0"/>
              <w:adjustRightInd w:val="0"/>
              <w:snapToGrid w:val="0"/>
              <w:ind w:firstLine="0" w:firstLineChars="0"/>
              <w:jc w:val="both"/>
              <w:rPr>
                <w:rFonts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kern w:val="2"/>
                <w:sz w:val="24"/>
                <w:szCs w:val="24"/>
                <w:highlight w:val="none"/>
                <w:lang w:val="en-US" w:eastAsia="zh-CN" w:bidi="ar-SA"/>
              </w:rPr>
              <w:t>（选择②暂不开展上门健康评估服务）</w:t>
            </w:r>
          </w:p>
          <w:p>
            <w:pPr>
              <w:widowControl w:val="0"/>
              <w:adjustRightInd w:val="0"/>
              <w:snapToGrid w:val="0"/>
              <w:ind w:firstLine="0" w:firstLineChars="0"/>
              <w:jc w:val="both"/>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①配合     ②不配合</w:t>
            </w:r>
          </w:p>
        </w:tc>
        <w:tc>
          <w:tcPr>
            <w:tcW w:w="1276" w:type="dxa"/>
            <w:gridSpan w:val="2"/>
            <w:noWrap w:val="0"/>
            <w:vAlign w:val="center"/>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拟申请评估时间</w:t>
            </w:r>
          </w:p>
        </w:tc>
        <w:tc>
          <w:tcPr>
            <w:tcW w:w="2282" w:type="dxa"/>
            <w:gridSpan w:val="2"/>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744" w:type="dxa"/>
            <w:gridSpan w:val="4"/>
            <w:noWrap w:val="0"/>
            <w:vAlign w:val="center"/>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填表人/与申请人关系</w:t>
            </w:r>
          </w:p>
        </w:tc>
        <w:tc>
          <w:tcPr>
            <w:tcW w:w="3318" w:type="dxa"/>
            <w:gridSpan w:val="7"/>
            <w:noWrap w:val="0"/>
            <w:vAlign w:val="center"/>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1276" w:type="dxa"/>
            <w:gridSpan w:val="2"/>
            <w:noWrap w:val="0"/>
            <w:vAlign w:val="center"/>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填表</w:t>
            </w:r>
          </w:p>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时间</w:t>
            </w:r>
          </w:p>
        </w:tc>
        <w:tc>
          <w:tcPr>
            <w:tcW w:w="2282" w:type="dxa"/>
            <w:gridSpan w:val="2"/>
            <w:noWrap w:val="0"/>
            <w:vAlign w:val="center"/>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年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 xml:space="preserve">月 </w:t>
            </w:r>
            <w:r>
              <w:rPr>
                <w:rFonts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620" w:type="dxa"/>
            <w:gridSpan w:val="15"/>
            <w:noWrap w:val="0"/>
            <w:vAlign w:val="top"/>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以上为申请人填写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749" w:type="dxa"/>
            <w:vMerge w:val="restart"/>
            <w:noWrap w:val="0"/>
            <w:vAlign w:val="center"/>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机构填写</w:t>
            </w:r>
          </w:p>
        </w:tc>
        <w:tc>
          <w:tcPr>
            <w:tcW w:w="763" w:type="dxa"/>
            <w:noWrap w:val="0"/>
            <w:vAlign w:val="center"/>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机构接受申请情况</w:t>
            </w:r>
          </w:p>
        </w:tc>
        <w:tc>
          <w:tcPr>
            <w:tcW w:w="711" w:type="dxa"/>
            <w:noWrap w:val="0"/>
            <w:vAlign w:val="center"/>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①</w:t>
            </w:r>
          </w:p>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接受申请</w:t>
            </w:r>
          </w:p>
        </w:tc>
        <w:tc>
          <w:tcPr>
            <w:tcW w:w="3068" w:type="dxa"/>
            <w:gridSpan w:val="6"/>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拟上门健康评估时间：</w:t>
            </w:r>
          </w:p>
          <w:p>
            <w:pPr>
              <w:widowControl w:val="0"/>
              <w:adjustRightInd w:val="0"/>
              <w:snapToGrid w:val="0"/>
              <w:spacing w:line="240" w:lineRule="auto"/>
              <w:ind w:firstLine="960" w:firstLineChars="400"/>
              <w:jc w:val="both"/>
              <w:textAlignment w:val="auto"/>
              <w:rPr>
                <w:rFonts w:ascii="仿宋_GB2312" w:hAnsi="仿宋_GB2312" w:eastAsia="仿宋_GB2312" w:cs="仿宋_GB2312"/>
                <w:color w:val="auto"/>
                <w:sz w:val="24"/>
                <w:highlight w:val="none"/>
              </w:rPr>
            </w:pPr>
          </w:p>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年月日</w:t>
            </w:r>
          </w:p>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上门评估人员安排</w:t>
            </w:r>
          </w:p>
        </w:tc>
        <w:tc>
          <w:tcPr>
            <w:tcW w:w="756" w:type="dxa"/>
            <w:noWrap w:val="0"/>
            <w:vAlign w:val="center"/>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②不接受申请</w:t>
            </w:r>
          </w:p>
        </w:tc>
        <w:tc>
          <w:tcPr>
            <w:tcW w:w="3573" w:type="dxa"/>
            <w:gridSpan w:val="5"/>
            <w:noWrap w:val="0"/>
            <w:vAlign w:val="center"/>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原因：①ADL评分不符合</w:t>
            </w:r>
          </w:p>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②健康状况暂不适合开展评估③不能配合开展上门评估④其他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9" w:type="dxa"/>
            <w:vMerge w:val="continue"/>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c>
          <w:tcPr>
            <w:tcW w:w="1474" w:type="dxa"/>
            <w:gridSpan w:val="2"/>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申请单处理人</w:t>
            </w:r>
          </w:p>
        </w:tc>
        <w:tc>
          <w:tcPr>
            <w:tcW w:w="3824" w:type="dxa"/>
            <w:gridSpan w:val="7"/>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c>
          <w:tcPr>
            <w:tcW w:w="1387" w:type="dxa"/>
            <w:gridSpan w:val="4"/>
            <w:vMerge w:val="restart"/>
            <w:noWrap w:val="0"/>
            <w:vAlign w:val="center"/>
          </w:tcPr>
          <w:p>
            <w:pPr>
              <w:widowControl w:val="0"/>
              <w:adjustRightInd w:val="0"/>
              <w:snapToGrid w:val="0"/>
              <w:spacing w:line="240" w:lineRule="auto"/>
              <w:jc w:val="center"/>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处理时间</w:t>
            </w:r>
          </w:p>
        </w:tc>
        <w:tc>
          <w:tcPr>
            <w:tcW w:w="2186" w:type="dxa"/>
            <w:vMerge w:val="restart"/>
            <w:noWrap w:val="0"/>
            <w:vAlign w:val="center"/>
          </w:tcPr>
          <w:p>
            <w:pPr>
              <w:widowControl w:val="0"/>
              <w:adjustRightInd w:val="0"/>
              <w:snapToGrid w:val="0"/>
              <w:spacing w:line="240" w:lineRule="auto"/>
              <w:ind w:firstLine="480" w:firstLineChars="200"/>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9" w:type="dxa"/>
            <w:vMerge w:val="continue"/>
            <w:noWrap w:val="0"/>
            <w:vAlign w:val="top"/>
          </w:tcPr>
          <w:p>
            <w:pPr>
              <w:widowControl w:val="0"/>
              <w:adjustRightInd w:val="0"/>
              <w:snapToGrid w:val="0"/>
              <w:spacing w:line="240" w:lineRule="auto"/>
              <w:jc w:val="both"/>
              <w:textAlignment w:val="auto"/>
              <w:rPr>
                <w:rFonts w:ascii="Times New Roman" w:hAnsi="Times New Roman" w:eastAsia="宋体"/>
                <w:color w:val="auto"/>
                <w:highlight w:val="none"/>
              </w:rPr>
            </w:pPr>
          </w:p>
        </w:tc>
        <w:tc>
          <w:tcPr>
            <w:tcW w:w="1474" w:type="dxa"/>
            <w:gridSpan w:val="2"/>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处理结果</w:t>
            </w:r>
          </w:p>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c>
          <w:tcPr>
            <w:tcW w:w="3824" w:type="dxa"/>
            <w:gridSpan w:val="7"/>
            <w:noWrap w:val="0"/>
            <w:vAlign w:val="top"/>
          </w:tcPr>
          <w:p>
            <w:pPr>
              <w:widowControl w:val="0"/>
              <w:numPr>
                <w:ilvl w:val="0"/>
                <w:numId w:val="4"/>
              </w:numPr>
              <w:adjustRightInd w:val="0"/>
              <w:snapToGrid w:val="0"/>
              <w:ind w:left="720" w:hanging="720" w:firstLineChars="0"/>
              <w:jc w:val="both"/>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反馈申请人</w:t>
            </w:r>
            <w:r>
              <w:rPr>
                <w:rFonts w:ascii="仿宋_GB2312" w:hAnsi="仿宋_GB2312" w:eastAsia="仿宋_GB2312" w:cs="仿宋_GB2312"/>
                <w:color w:val="auto"/>
                <w:kern w:val="2"/>
                <w:sz w:val="24"/>
                <w:szCs w:val="24"/>
                <w:highlight w:val="none"/>
                <w:lang w:val="en-US" w:eastAsia="zh-CN" w:bidi="ar-SA"/>
              </w:rPr>
              <w:t xml:space="preserve">    </w:t>
            </w:r>
            <w:r>
              <w:rPr>
                <w:rFonts w:hint="eastAsia" w:ascii="仿宋_GB2312" w:hAnsi="仿宋_GB2312" w:eastAsia="仿宋_GB2312" w:cs="仿宋_GB2312"/>
                <w:color w:val="auto"/>
                <w:kern w:val="2"/>
                <w:sz w:val="24"/>
                <w:szCs w:val="24"/>
                <w:highlight w:val="none"/>
                <w:lang w:val="en-US" w:eastAsia="zh-CN" w:bidi="ar-SA"/>
              </w:rPr>
              <w:t>②未反馈</w:t>
            </w:r>
          </w:p>
        </w:tc>
        <w:tc>
          <w:tcPr>
            <w:tcW w:w="1387" w:type="dxa"/>
            <w:gridSpan w:val="4"/>
            <w:vMerge w:val="continue"/>
            <w:noWrap w:val="0"/>
            <w:vAlign w:val="top"/>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c>
          <w:tcPr>
            <w:tcW w:w="2186" w:type="dxa"/>
            <w:vMerge w:val="continue"/>
            <w:noWrap w:val="0"/>
            <w:vAlign w:val="center"/>
          </w:tcPr>
          <w:p>
            <w:pPr>
              <w:widowControl w:val="0"/>
              <w:adjustRightInd w:val="0"/>
              <w:snapToGrid w:val="0"/>
              <w:spacing w:line="240" w:lineRule="auto"/>
              <w:jc w:val="both"/>
              <w:textAlignment w:val="auto"/>
              <w:rPr>
                <w:rFonts w:ascii="仿宋_GB2312" w:hAnsi="仿宋_GB2312" w:eastAsia="仿宋_GB2312" w:cs="仿宋_GB2312"/>
                <w:color w:val="auto"/>
                <w:sz w:val="24"/>
                <w:highlight w:val="none"/>
              </w:rPr>
            </w:pPr>
          </w:p>
        </w:tc>
      </w:tr>
    </w:tbl>
    <w:p>
      <w:pPr>
        <w:snapToGrid w:val="0"/>
        <w:rPr>
          <w:rFonts w:ascii="仿宋" w:hAnsi="仿宋" w:eastAsia="仿宋" w:cs="黑体"/>
          <w:b/>
          <w:bCs/>
          <w:color w:val="auto"/>
          <w:sz w:val="36"/>
          <w:szCs w:val="36"/>
          <w:highlight w:val="none"/>
        </w:rPr>
        <w:sectPr>
          <w:headerReference r:id="rId5" w:type="default"/>
          <w:footerReference r:id="rId6" w:type="default"/>
          <w:pgSz w:w="11911" w:h="16838"/>
          <w:pgMar w:top="2098" w:right="1474" w:bottom="1984" w:left="1587" w:header="890" w:footer="1531" w:gutter="0"/>
          <w:pgNumType w:fmt="numberInDash"/>
          <w:cols w:space="720" w:num="1"/>
          <w:rtlGutter w:val="0"/>
          <w:docGrid w:type="lines" w:linePitch="318" w:charSpace="0"/>
        </w:sectPr>
      </w:pPr>
    </w:p>
    <w:p>
      <w:pPr>
        <w:widowControl w:val="0"/>
        <w:adjustRightInd w:val="0"/>
        <w:snapToGrid w:val="0"/>
        <w:spacing w:line="240" w:lineRule="auto"/>
        <w:jc w:val="both"/>
        <w:textAlignment w:val="auto"/>
        <w:rPr>
          <w:rFonts w:ascii="黑体" w:hAnsi="黑体" w:eastAsia="黑体"/>
          <w:color w:val="auto"/>
          <w:sz w:val="32"/>
          <w:szCs w:val="32"/>
          <w:highlight w:val="none"/>
        </w:rPr>
      </w:pPr>
      <w:r>
        <w:rPr>
          <w:rFonts w:hint="eastAsia" w:ascii="Times New Roman" w:hAnsi="Times New Roman" w:eastAsia="黑体"/>
          <w:color w:val="auto"/>
          <w:sz w:val="32"/>
          <w:szCs w:val="32"/>
          <w:highlight w:val="none"/>
        </w:rPr>
        <w:t>附</w:t>
      </w:r>
      <w:r>
        <w:rPr>
          <w:rFonts w:hint="eastAsia" w:ascii="Times New Roman" w:hAnsi="Times New Roman" w:eastAsia="黑体"/>
          <w:color w:val="auto"/>
          <w:sz w:val="32"/>
          <w:szCs w:val="32"/>
          <w:highlight w:val="none"/>
          <w:lang w:eastAsia="zh-Hans"/>
        </w:rPr>
        <w:t>表</w:t>
      </w:r>
    </w:p>
    <w:p>
      <w:pPr>
        <w:widowControl/>
        <w:spacing w:line="240" w:lineRule="auto"/>
        <w:jc w:val="left"/>
        <w:textAlignment w:val="auto"/>
        <w:rPr>
          <w:rFonts w:ascii="Times New Roman" w:hAnsi="Times New Roman" w:eastAsia="宋体"/>
          <w:color w:val="auto"/>
          <w:highlight w:val="none"/>
        </w:rPr>
      </w:pPr>
      <w:r>
        <w:rPr>
          <w:rFonts w:ascii="仿宋_GB2312" w:hAnsi="宋体" w:eastAsia="仿宋_GB2312" w:cs="仿宋_GB2312"/>
          <w:color w:val="auto"/>
          <w:kern w:val="0"/>
          <w:szCs w:val="21"/>
          <w:highlight w:val="none"/>
        </w:rPr>
        <w:drawing>
          <wp:inline distT="0" distB="0" distL="114300" distR="114300">
            <wp:extent cx="5559425" cy="8081010"/>
            <wp:effectExtent l="0" t="0" r="3175" b="1524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2"/>
                    <a:stretch>
                      <a:fillRect/>
                    </a:stretch>
                  </pic:blipFill>
                  <pic:spPr>
                    <a:xfrm>
                      <a:off x="0" y="0"/>
                      <a:ext cx="5559425" cy="8081010"/>
                    </a:xfrm>
                    <a:prstGeom prst="rect">
                      <a:avLst/>
                    </a:prstGeom>
                    <a:noFill/>
                    <a:ln>
                      <a:noFill/>
                    </a:ln>
                  </pic:spPr>
                </pic:pic>
              </a:graphicData>
            </a:graphic>
          </wp:inline>
        </w:drawing>
      </w:r>
      <w:r>
        <w:rPr>
          <w:rFonts w:ascii="仿宋_GB2312" w:hAnsi="宋体" w:eastAsia="仿宋_GB2312" w:cs="仿宋_GB2312"/>
          <w:color w:val="auto"/>
          <w:kern w:val="0"/>
          <w:szCs w:val="21"/>
          <w:highlight w:val="none"/>
        </w:rPr>
        <w:t xml:space="preserve">0 </w:t>
      </w:r>
    </w:p>
    <w:p>
      <w:pPr>
        <w:widowControl w:val="0"/>
        <w:spacing w:line="360" w:lineRule="auto"/>
        <w:jc w:val="left"/>
        <w:textAlignment w:val="auto"/>
        <w:rPr>
          <w:rFonts w:ascii="黑体" w:hAnsi="黑体" w:eastAsia="黑体"/>
          <w:color w:val="auto"/>
          <w:sz w:val="32"/>
          <w:szCs w:val="32"/>
          <w:highlight w:val="none"/>
        </w:rPr>
      </w:pPr>
      <w:r>
        <w:rPr>
          <w:rFonts w:hint="eastAsia" w:ascii="Times New Roman" w:hAnsi="Times New Roman" w:eastAsia="黑体"/>
          <w:color w:val="auto"/>
          <w:sz w:val="32"/>
          <w:szCs w:val="32"/>
          <w:highlight w:val="none"/>
        </w:rPr>
        <w:t>附录</w:t>
      </w:r>
      <w:r>
        <w:rPr>
          <w:rFonts w:ascii="黑体" w:hAnsi="黑体" w:eastAsia="黑体"/>
          <w:color w:val="auto"/>
          <w:sz w:val="32"/>
          <w:szCs w:val="32"/>
          <w:highlight w:val="none"/>
        </w:rPr>
        <w:t>2</w:t>
      </w:r>
    </w:p>
    <w:p>
      <w:pPr>
        <w:widowControl w:val="0"/>
        <w:spacing w:line="360" w:lineRule="auto"/>
        <w:jc w:val="center"/>
        <w:textAlignment w:val="auto"/>
        <w:rPr>
          <w:rFonts w:ascii="宋体" w:hAnsi="宋体" w:eastAsia="宋体"/>
          <w:b/>
          <w:bCs/>
          <w:color w:val="auto"/>
          <w:sz w:val="36"/>
          <w:szCs w:val="36"/>
          <w:highlight w:val="none"/>
        </w:rPr>
      </w:pPr>
      <w:r>
        <w:rPr>
          <w:rFonts w:hint="eastAsia" w:ascii="方正小标宋简体" w:hAnsi="方正小标宋简体" w:eastAsia="方正小标宋简体" w:cs="方正小标宋简体"/>
          <w:color w:val="auto"/>
          <w:sz w:val="44"/>
          <w:szCs w:val="44"/>
          <w:highlight w:val="none"/>
        </w:rPr>
        <w:t>老年人能力评估标准表（试行）</w:t>
      </w:r>
    </w:p>
    <w:p>
      <w:pPr>
        <w:widowControl w:val="0"/>
        <w:snapToGrid w:val="0"/>
        <w:spacing w:line="240" w:lineRule="auto"/>
        <w:jc w:val="both"/>
        <w:textAlignment w:val="auto"/>
        <w:rPr>
          <w:rFonts w:ascii="Times New Roman" w:hAnsi="Times New Roman" w:eastAsia="宋体"/>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3"/>
        <w:gridCol w:w="990"/>
        <w:gridCol w:w="1320"/>
        <w:gridCol w:w="1100"/>
        <w:gridCol w:w="1180"/>
        <w:gridCol w:w="860"/>
        <w:gridCol w:w="990"/>
        <w:gridCol w:w="103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1243" w:type="dxa"/>
            <w:vMerge w:val="restart"/>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日常生活</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活动能力</w:t>
            </w:r>
          </w:p>
        </w:tc>
        <w:tc>
          <w:tcPr>
            <w:tcW w:w="4590" w:type="dxa"/>
            <w:gridSpan w:val="4"/>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精神状态与社会参与能力</w:t>
            </w:r>
          </w:p>
        </w:tc>
        <w:tc>
          <w:tcPr>
            <w:tcW w:w="3970" w:type="dxa"/>
            <w:gridSpan w:val="4"/>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感知觉与沟通能力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 w:hRule="atLeast"/>
          <w:jc w:val="center"/>
        </w:trPr>
        <w:tc>
          <w:tcPr>
            <w:tcW w:w="1243" w:type="dxa"/>
            <w:vMerge w:val="continue"/>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p>
        </w:tc>
        <w:tc>
          <w:tcPr>
            <w:tcW w:w="990"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0分</w:t>
            </w:r>
          </w:p>
        </w:tc>
        <w:tc>
          <w:tcPr>
            <w:tcW w:w="1320"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1-8分</w:t>
            </w:r>
          </w:p>
        </w:tc>
        <w:tc>
          <w:tcPr>
            <w:tcW w:w="1100"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9-24分</w:t>
            </w:r>
          </w:p>
        </w:tc>
        <w:tc>
          <w:tcPr>
            <w:tcW w:w="1180"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25-40分</w:t>
            </w:r>
          </w:p>
        </w:tc>
        <w:tc>
          <w:tcPr>
            <w:tcW w:w="860"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0分</w:t>
            </w:r>
          </w:p>
        </w:tc>
        <w:tc>
          <w:tcPr>
            <w:tcW w:w="990"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1-4分</w:t>
            </w:r>
          </w:p>
        </w:tc>
        <w:tc>
          <w:tcPr>
            <w:tcW w:w="1030"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5-8分</w:t>
            </w:r>
          </w:p>
        </w:tc>
        <w:tc>
          <w:tcPr>
            <w:tcW w:w="1090"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9-12分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1243"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0分</w:t>
            </w:r>
          </w:p>
        </w:tc>
        <w:tc>
          <w:tcPr>
            <w:tcW w:w="990"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完好</w:t>
            </w:r>
          </w:p>
        </w:tc>
        <w:tc>
          <w:tcPr>
            <w:tcW w:w="1320"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完好</w:t>
            </w:r>
          </w:p>
        </w:tc>
        <w:tc>
          <w:tcPr>
            <w:tcW w:w="110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轻度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18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轻度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860"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完好</w:t>
            </w:r>
          </w:p>
        </w:tc>
        <w:tc>
          <w:tcPr>
            <w:tcW w:w="990"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完好</w:t>
            </w:r>
          </w:p>
        </w:tc>
        <w:tc>
          <w:tcPr>
            <w:tcW w:w="103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轻度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09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轻度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1243"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1-20分</w:t>
            </w:r>
          </w:p>
        </w:tc>
        <w:tc>
          <w:tcPr>
            <w:tcW w:w="99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轻度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32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轻度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10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18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86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轻度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99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轻度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03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09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jc w:val="center"/>
        </w:trPr>
        <w:tc>
          <w:tcPr>
            <w:tcW w:w="1243"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21-40分</w:t>
            </w:r>
          </w:p>
        </w:tc>
        <w:tc>
          <w:tcPr>
            <w:tcW w:w="99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32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10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18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重度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86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99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03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09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重度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9" w:hRule="atLeast"/>
          <w:jc w:val="center"/>
        </w:trPr>
        <w:tc>
          <w:tcPr>
            <w:tcW w:w="1243" w:type="dxa"/>
            <w:noWrap w:val="0"/>
            <w:vAlign w:val="top"/>
          </w:tcPr>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41-6O分</w:t>
            </w:r>
          </w:p>
        </w:tc>
        <w:tc>
          <w:tcPr>
            <w:tcW w:w="99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重度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32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重度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10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重度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18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重度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86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重度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99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重度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03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重度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c>
          <w:tcPr>
            <w:tcW w:w="1090" w:type="dxa"/>
            <w:noWrap w:val="0"/>
            <w:vAlign w:val="top"/>
          </w:tcPr>
          <w:p>
            <w:pPr>
              <w:widowControl w:val="0"/>
              <w:snapToGrid w:val="0"/>
              <w:spacing w:line="288" w:lineRule="auto"/>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重度</w:t>
            </w:r>
          </w:p>
          <w:p>
            <w:pPr>
              <w:widowControl w:val="0"/>
              <w:snapToGrid w:val="0"/>
              <w:spacing w:line="288" w:lineRule="auto"/>
              <w:jc w:val="center"/>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受损</w:t>
            </w:r>
          </w:p>
        </w:tc>
      </w:tr>
    </w:tbl>
    <w:p>
      <w:pPr>
        <w:widowControl w:val="0"/>
        <w:spacing w:line="240" w:lineRule="auto"/>
        <w:jc w:val="both"/>
        <w:textAlignment w:val="auto"/>
        <w:rPr>
          <w:rFonts w:ascii="仿宋" w:hAnsi="仿宋" w:eastAsia="仿宋"/>
          <w:color w:val="auto"/>
          <w:szCs w:val="21"/>
          <w:highlight w:val="none"/>
        </w:rPr>
      </w:pPr>
    </w:p>
    <w:p>
      <w:pPr>
        <w:widowControl w:val="0"/>
        <w:adjustRightInd w:val="0"/>
        <w:snapToGrid w:val="0"/>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说明:</w:t>
      </w:r>
    </w:p>
    <w:p>
      <w:pPr>
        <w:widowControl w:val="0"/>
        <w:adjustRightInd w:val="0"/>
        <w:snapToGrid w:val="0"/>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表根据《WHO国际功能、残疾和健康分类（ICF）》、《日常生活活动能力评分量表（ADLs）》、《工具性日常生活活动能力量表（IADLs）》、《简易智能精神状态检查表（MMSE）》、《临床失智评估量表（CDR）》、《Bathel指数评定量表》、《护理分级》、《老年人能力评估》等结合我国老年人护理特点和部分省市地方实践经验制定。</w:t>
      </w:r>
    </w:p>
    <w:p>
      <w:pPr>
        <w:widowControl w:val="0"/>
        <w:adjustRightInd w:val="0"/>
        <w:snapToGrid w:val="0"/>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2.根据对老年人</w:t>
      </w:r>
      <w:r>
        <w:rPr>
          <w:rFonts w:hint="eastAsia" w:ascii="仿宋_GB2312" w:hAnsi="仿宋_GB2312" w:eastAsia="仿宋_GB2312" w:cs="仿宋_GB2312"/>
          <w:color w:val="auto"/>
          <w:sz w:val="32"/>
          <w:szCs w:val="32"/>
          <w:highlight w:val="none"/>
          <w:lang w:eastAsia="zh-CN"/>
        </w:rPr>
        <w:t>日常生活</w:t>
      </w:r>
      <w:r>
        <w:rPr>
          <w:rFonts w:hint="eastAsia" w:ascii="仿宋_GB2312" w:hAnsi="仿宋_GB2312" w:eastAsia="仿宋_GB2312" w:cs="仿宋_GB2312"/>
          <w:color w:val="auto"/>
          <w:sz w:val="32"/>
          <w:szCs w:val="32"/>
          <w:highlight w:val="none"/>
        </w:rPr>
        <w:t>活动能力、精神状态与社会参与能力、感知觉与沟通能力3个维度评估的评分情况，将老年人能力评定为4个等级即完好、轻度受损、中度受损、重度受损。</w:t>
      </w:r>
    </w:p>
    <w:p>
      <w:pPr>
        <w:widowControl w:val="0"/>
        <w:adjustRightInd w:val="0"/>
        <w:snapToGrid w:val="0"/>
        <w:spacing w:line="240" w:lineRule="auto"/>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3.老年人</w:t>
      </w:r>
      <w:r>
        <w:rPr>
          <w:rFonts w:hint="eastAsia" w:ascii="仿宋_GB2312" w:hAnsi="仿宋_GB2312" w:eastAsia="仿宋_GB2312" w:cs="仿宋_GB2312"/>
          <w:color w:val="auto"/>
          <w:sz w:val="32"/>
          <w:szCs w:val="32"/>
          <w:highlight w:val="none"/>
          <w:lang w:eastAsia="zh-CN"/>
        </w:rPr>
        <w:t>日常生活</w:t>
      </w:r>
      <w:r>
        <w:rPr>
          <w:rFonts w:hint="eastAsia" w:ascii="仿宋_GB2312" w:hAnsi="仿宋_GB2312" w:eastAsia="仿宋_GB2312" w:cs="仿宋_GB2312"/>
          <w:color w:val="auto"/>
          <w:sz w:val="32"/>
          <w:szCs w:val="32"/>
          <w:highlight w:val="none"/>
        </w:rPr>
        <w:t>活动能力、精神状态与社会参与能力、感知觉与沟通能力评分表分别见附表1、2、3。</w:t>
      </w:r>
    </w:p>
    <w:p>
      <w:pPr>
        <w:widowControl w:val="0"/>
        <w:spacing w:line="240" w:lineRule="auto"/>
        <w:jc w:val="both"/>
        <w:textAlignment w:val="auto"/>
        <w:rPr>
          <w:rFonts w:hint="eastAsia" w:ascii="宋体" w:hAnsi="宋体" w:eastAsia="宋体"/>
          <w:b/>
          <w:bCs/>
          <w:color w:val="auto"/>
          <w:sz w:val="32"/>
          <w:szCs w:val="32"/>
          <w:highlight w:val="none"/>
        </w:rPr>
      </w:pPr>
      <w:r>
        <w:rPr>
          <w:rFonts w:hint="eastAsia" w:ascii="仿宋_GB2312" w:hAnsi="仿宋_GB2312" w:eastAsia="仿宋_GB2312" w:cs="仿宋_GB2312"/>
          <w:color w:val="auto"/>
          <w:sz w:val="32"/>
          <w:szCs w:val="32"/>
          <w:highlight w:val="none"/>
        </w:rPr>
        <w:t>4.先根据</w:t>
      </w:r>
      <w:r>
        <w:rPr>
          <w:rFonts w:hint="eastAsia" w:ascii="仿宋_GB2312" w:hAnsi="仿宋_GB2312" w:eastAsia="仿宋_GB2312" w:cs="仿宋_GB2312"/>
          <w:color w:val="auto"/>
          <w:sz w:val="32"/>
          <w:szCs w:val="32"/>
          <w:highlight w:val="none"/>
          <w:lang w:eastAsia="zh-CN"/>
        </w:rPr>
        <w:t>日常生活</w:t>
      </w:r>
      <w:r>
        <w:rPr>
          <w:rFonts w:hint="eastAsia" w:ascii="仿宋_GB2312" w:hAnsi="仿宋_GB2312" w:eastAsia="仿宋_GB2312" w:cs="仿宋_GB2312"/>
          <w:color w:val="auto"/>
          <w:sz w:val="32"/>
          <w:szCs w:val="32"/>
          <w:highlight w:val="none"/>
        </w:rPr>
        <w:t>活动能力得分情况确定区间再分别结合精神状态与社会参与能力以及感知觉与沟通能力得分情况确定老年人能力等级,以最严重的老年人能力等级为准。</w:t>
      </w:r>
    </w:p>
    <w:p>
      <w:pPr>
        <w:widowControl w:val="0"/>
        <w:snapToGrid w:val="0"/>
        <w:spacing w:line="240" w:lineRule="auto"/>
        <w:jc w:val="both"/>
        <w:textAlignment w:val="auto"/>
        <w:rPr>
          <w:rFonts w:hint="eastAsia" w:ascii="黑体" w:hAnsi="黑体" w:eastAsia="黑体" w:cs="黑体"/>
          <w:color w:val="auto"/>
          <w:sz w:val="32"/>
          <w:szCs w:val="32"/>
          <w:highlight w:val="none"/>
        </w:rPr>
      </w:pPr>
    </w:p>
    <w:p>
      <w:pPr>
        <w:widowControl w:val="0"/>
        <w:snapToGrid w:val="0"/>
        <w:spacing w:line="240" w:lineRule="auto"/>
        <w:jc w:val="both"/>
        <w:textAlignment w:val="auto"/>
        <w:rPr>
          <w:rFonts w:ascii="宋体" w:hAnsi="宋体" w:eastAsia="宋体"/>
          <w:b/>
          <w:bCs/>
          <w:color w:val="auto"/>
          <w:sz w:val="32"/>
          <w:szCs w:val="32"/>
          <w:highlight w:val="none"/>
        </w:rPr>
      </w:pPr>
      <w:r>
        <w:rPr>
          <w:rFonts w:hint="eastAsia" w:ascii="黑体" w:hAnsi="黑体" w:eastAsia="黑体" w:cs="黑体"/>
          <w:color w:val="auto"/>
          <w:sz w:val="32"/>
          <w:szCs w:val="32"/>
          <w:highlight w:val="none"/>
        </w:rPr>
        <w:t>附表1</w:t>
      </w:r>
    </w:p>
    <w:p>
      <w:pPr>
        <w:widowControl w:val="0"/>
        <w:snapToGrid w:val="0"/>
        <w:spacing w:line="240" w:lineRule="auto"/>
        <w:jc w:val="center"/>
        <w:textAlignment w:val="auto"/>
        <w:rPr>
          <w:rFonts w:ascii="仿宋" w:hAnsi="仿宋" w:eastAsia="仿宋" w:cs="宋体"/>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老年人日常生活活动能力评分表</w:t>
      </w:r>
    </w:p>
    <w:tbl>
      <w:tblPr>
        <w:tblStyle w:val="24"/>
        <w:tblW w:w="0" w:type="auto"/>
        <w:jc w:val="center"/>
        <w:tblLayout w:type="fixed"/>
        <w:tblCellMar>
          <w:top w:w="0" w:type="dxa"/>
          <w:left w:w="28" w:type="dxa"/>
          <w:bottom w:w="0" w:type="dxa"/>
          <w:right w:w="28" w:type="dxa"/>
        </w:tblCellMar>
      </w:tblPr>
      <w:tblGrid>
        <w:gridCol w:w="1033"/>
        <w:gridCol w:w="7490"/>
        <w:gridCol w:w="780"/>
      </w:tblGrid>
      <w:tr>
        <w:tblPrEx>
          <w:tblCellMar>
            <w:top w:w="0" w:type="dxa"/>
            <w:left w:w="28" w:type="dxa"/>
            <w:bottom w:w="0" w:type="dxa"/>
            <w:right w:w="28" w:type="dxa"/>
          </w:tblCellMar>
        </w:tblPrEx>
        <w:trPr>
          <w:trHeight w:val="830" w:hRule="atLeast"/>
          <w:tblHeader/>
          <w:jc w:val="center"/>
        </w:trPr>
        <w:tc>
          <w:tcPr>
            <w:tcW w:w="103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b/>
                <w:bCs/>
                <w:color w:val="auto"/>
                <w:kern w:val="0"/>
                <w:sz w:val="32"/>
                <w:szCs w:val="32"/>
                <w:highlight w:val="none"/>
                <w:lang w:eastAsia="zh-TW"/>
              </w:rPr>
            </w:pPr>
            <w:r>
              <w:rPr>
                <w:rFonts w:hint="eastAsia" w:ascii="仿宋_GB2312" w:hAnsi="仿宋_GB2312" w:eastAsia="仿宋_GB2312" w:cs="仿宋_GB2312"/>
                <w:b/>
                <w:bCs/>
                <w:color w:val="auto"/>
                <w:kern w:val="0"/>
                <w:sz w:val="32"/>
                <w:szCs w:val="32"/>
                <w:highlight w:val="none"/>
                <w:lang w:eastAsia="zh-TW"/>
              </w:rPr>
              <w:t>评估</w:t>
            </w:r>
          </w:p>
          <w:p>
            <w:pPr>
              <w:widowControl/>
              <w:snapToGrid w:val="0"/>
              <w:spacing w:line="240" w:lineRule="auto"/>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TW"/>
              </w:rPr>
              <w:t>项目</w:t>
            </w:r>
          </w:p>
        </w:tc>
        <w:tc>
          <w:tcPr>
            <w:tcW w:w="7490"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TW"/>
              </w:rPr>
              <w:t>具体评价指标及分值</w:t>
            </w:r>
          </w:p>
        </w:tc>
        <w:tc>
          <w:tcPr>
            <w:tcW w:w="780" w:type="dxa"/>
            <w:tcBorders>
              <w:top w:val="single" w:color="auto" w:sz="4" w:space="0"/>
              <w:left w:val="nil"/>
              <w:bottom w:val="single" w:color="auto"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TW"/>
              </w:rPr>
              <w:t>分值</w:t>
            </w:r>
          </w:p>
        </w:tc>
      </w:tr>
      <w:tr>
        <w:tblPrEx>
          <w:tblCellMar>
            <w:top w:w="0" w:type="dxa"/>
            <w:left w:w="28" w:type="dxa"/>
            <w:bottom w:w="0" w:type="dxa"/>
            <w:right w:w="28" w:type="dxa"/>
          </w:tblCellMar>
        </w:tblPrEx>
        <w:trPr>
          <w:trHeight w:val="402" w:hRule="atLeast"/>
          <w:jc w:val="center"/>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 xml:space="preserve">1.卧位状态 </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不需要帮助</w:t>
            </w:r>
          </w:p>
        </w:tc>
        <w:tc>
          <w:tcPr>
            <w:tcW w:w="780"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在他人的语言指导下或照看下能够完成左右翻身</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10" w:hRule="atLeast"/>
          <w:jc w:val="center"/>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2.床椅转移</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个体可以独立地完成床椅转移</w:t>
            </w:r>
          </w:p>
        </w:tc>
        <w:tc>
          <w:tcPr>
            <w:tcW w:w="780"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个体在床椅转移时需要他人监控或指导</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个体在床椅转移时需要他人小量接触式帮助</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个体在床椅转移时需耍他人大量接触式帮助</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个体在床椅转移时完全依赖他人</w:t>
            </w:r>
          </w:p>
        </w:tc>
        <w:tc>
          <w:tcPr>
            <w:tcW w:w="78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02" w:hRule="atLeast"/>
          <w:jc w:val="center"/>
        </w:trPr>
        <w:tc>
          <w:tcPr>
            <w:tcW w:w="10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3.平地步行</w:t>
            </w: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0分 个体能独立平地步行50m左右，且无摔倒风险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13"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个体能独立平地步行50m左右，但存在摔倒风险，需要他人监控，或使用拐杖、助行器等辅助工具</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个体在步行时需要他人小量扶持帮助</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个体在步行时需要他人大量扶持帮助</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无法步行，完全依赖他人</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630" w:hRule="atLeast"/>
          <w:jc w:val="center"/>
        </w:trPr>
        <w:tc>
          <w:tcPr>
            <w:tcW w:w="10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4.非步行移动</w:t>
            </w: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个体能够独立地使用轮椅（或电动车）从A 地移动到B地</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　</w:t>
            </w:r>
          </w:p>
        </w:tc>
      </w:tr>
      <w:tr>
        <w:tblPrEx>
          <w:tblCellMar>
            <w:top w:w="0" w:type="dxa"/>
            <w:left w:w="28" w:type="dxa"/>
            <w:bottom w:w="0" w:type="dxa"/>
            <w:right w:w="28" w:type="dxa"/>
          </w:tblCellMar>
        </w:tblPrEx>
        <w:trPr>
          <w:trHeight w:val="660"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个体使用轮椅（或电动车）从A地移动到B地时需要监护或指导</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675"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个体使用轮椅（或电动车）从A地移动到B地时需要小量接触式帮助</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555"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个体使用轮椅（或电动车）从A地移动到B地时需要大量接触式帮助</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50"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个体使用轮椅（或电动车）时完全依赖他人</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5.活动耐力</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 正常完成日常活动，无疲劳</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　</w:t>
            </w: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 正常完成日常活动轻度费力，有疲劳感</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完成日常活动比较费力，经常疲劳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 完成日常活动十分费力，绝大多数时候都很疲劳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不能完成日常活动，极易疲劳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6.上下楼梯</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不需要帮助</w:t>
            </w:r>
          </w:p>
        </w:tc>
        <w:tc>
          <w:tcPr>
            <w:tcW w:w="780"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3分 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4分 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7.食物摄取</w:t>
            </w: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不需要帮助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使用餐具有些困难，但以自身完成为主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3分 需要喂食，喂食量超过一半</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4分 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8.修饰：包括刷牙、漱口、洗脸、洗手、梳头</w:t>
            </w: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不需要帮助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9.穿/脱上衣</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不需要帮助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10.穿/脱裤子</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不需要帮助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11.身体清洁</w:t>
            </w: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不需要帮助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4分 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12.使用厕所</w:t>
            </w: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0分 不需要帮助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1分 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2分 需要他人动手帮助，但以自身完成为主</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3分 主要靠帮助，自身只是配合</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完全需要帮助，或更严重的情况</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13.小便控制</w:t>
            </w: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每次都能不失控</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每月失控1-3次左右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每周失控1次左右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每天失控1次左右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1033"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每次都失控</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320" w:hRule="atLeast"/>
          <w:jc w:val="center"/>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14.大便控制</w:t>
            </w: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每次都能不失控</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340"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每月失控1-3次左右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345"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每周失控1次左右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24"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每天失控1次左右</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43"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每次都失控</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49" w:hRule="atLeast"/>
          <w:jc w:val="center"/>
        </w:trPr>
        <w:tc>
          <w:tcPr>
            <w:tcW w:w="1033"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15.服用药物</w:t>
            </w: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能自己负责在正确的时间服用正确的药物</w:t>
            </w:r>
          </w:p>
        </w:tc>
        <w:tc>
          <w:tcPr>
            <w:tcW w:w="780"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255"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1分 在他人的语言指导下或照看下能够完成</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59"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如果事先准备好服用的药物份量，可自行服药</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36"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top"/>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主要依靠帮助服药</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25" w:hRule="atLeast"/>
          <w:jc w:val="center"/>
        </w:trPr>
        <w:tc>
          <w:tcPr>
            <w:tcW w:w="103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c>
          <w:tcPr>
            <w:tcW w:w="7490" w:type="dxa"/>
            <w:tcBorders>
              <w:top w:val="nil"/>
              <w:left w:val="nil"/>
              <w:bottom w:val="single" w:color="auto" w:sz="4" w:space="0"/>
              <w:right w:val="single" w:color="auto" w:sz="4" w:space="0"/>
            </w:tcBorders>
            <w:shd w:val="clear" w:color="000000" w:fill="FFFFFF"/>
            <w:noWrap w:val="0"/>
            <w:vAlign w:val="bottom"/>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 xml:space="preserve">完全不能自行服用药物 </w:t>
            </w:r>
          </w:p>
        </w:tc>
        <w:tc>
          <w:tcPr>
            <w:tcW w:w="780" w:type="dxa"/>
            <w:vMerge w:val="continue"/>
            <w:tcBorders>
              <w:top w:val="nil"/>
              <w:left w:val="single" w:color="auto" w:sz="4" w:space="0"/>
              <w:bottom w:val="single" w:color="auto" w:sz="4" w:space="0"/>
              <w:right w:val="single" w:color="auto" w:sz="4" w:space="0"/>
            </w:tcBorders>
            <w:noWrap w:val="0"/>
            <w:vAlign w:val="center"/>
          </w:tcPr>
          <w:p>
            <w:pPr>
              <w:widowControl/>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602" w:hRule="atLeast"/>
          <w:jc w:val="center"/>
        </w:trPr>
        <w:tc>
          <w:tcPr>
            <w:tcW w:w="9303" w:type="dxa"/>
            <w:gridSpan w:val="3"/>
            <w:tcBorders>
              <w:top w:val="single" w:color="auto" w:sz="4" w:space="0"/>
              <w:left w:val="single" w:color="auto" w:sz="4" w:space="0"/>
              <w:bottom w:val="single" w:color="auto" w:sz="4" w:space="0"/>
              <w:right w:val="single" w:color="000000" w:sz="4" w:space="0"/>
            </w:tcBorders>
            <w:noWrap w:val="0"/>
            <w:vAlign w:val="center"/>
          </w:tcPr>
          <w:p>
            <w:pPr>
              <w:widowControl/>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上述评估项目总分为6O分，本次评估得分为</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分。</w:t>
            </w:r>
          </w:p>
        </w:tc>
      </w:tr>
    </w:tbl>
    <w:p>
      <w:pPr>
        <w:widowControl/>
        <w:snapToGrid w:val="0"/>
        <w:spacing w:line="240" w:lineRule="auto"/>
        <w:jc w:val="left"/>
        <w:textAlignment w:val="auto"/>
        <w:rPr>
          <w:rFonts w:hint="eastAsia" w:ascii="仿宋_GB2312" w:hAnsi="仿宋_GB2312" w:eastAsia="仿宋_GB2312" w:cs="仿宋_GB2312"/>
          <w:color w:val="auto"/>
          <w:sz w:val="32"/>
          <w:szCs w:val="32"/>
          <w:highlight w:val="none"/>
          <w:lang w:eastAsia="zh-TW" w:bidi="zh-TW"/>
        </w:rPr>
      </w:pPr>
    </w:p>
    <w:p>
      <w:pPr>
        <w:widowControl w:val="0"/>
        <w:adjustRightInd w:val="0"/>
        <w:snapToGrid w:val="0"/>
        <w:spacing w:line="240" w:lineRule="auto"/>
        <w:jc w:val="left"/>
        <w:textAlignment w:val="auto"/>
        <w:rPr>
          <w:rFonts w:hint="eastAsia" w:ascii="黑体" w:hAnsi="黑体" w:eastAsia="黑体" w:cs="黑体"/>
          <w:color w:val="auto"/>
          <w:sz w:val="32"/>
          <w:szCs w:val="32"/>
          <w:highlight w:val="none"/>
        </w:rPr>
      </w:pPr>
    </w:p>
    <w:p>
      <w:pPr>
        <w:widowControl w:val="0"/>
        <w:adjustRightInd w:val="0"/>
        <w:snapToGrid w:val="0"/>
        <w:spacing w:line="240" w:lineRule="auto"/>
        <w:jc w:val="left"/>
        <w:textAlignment w:val="auto"/>
        <w:rPr>
          <w:rFonts w:hint="eastAsia" w:ascii="黑体" w:hAnsi="黑体" w:eastAsia="黑体" w:cs="黑体"/>
          <w:color w:val="auto"/>
          <w:sz w:val="32"/>
          <w:szCs w:val="32"/>
          <w:highlight w:val="none"/>
        </w:rPr>
      </w:pPr>
    </w:p>
    <w:p>
      <w:pPr>
        <w:widowControl w:val="0"/>
        <w:adjustRightInd w:val="0"/>
        <w:snapToGrid w:val="0"/>
        <w:spacing w:line="240" w:lineRule="auto"/>
        <w:jc w:val="left"/>
        <w:textAlignment w:val="auto"/>
        <w:rPr>
          <w:rFonts w:hint="eastAsia" w:ascii="黑体" w:hAnsi="黑体" w:eastAsia="黑体" w:cs="黑体"/>
          <w:color w:val="auto"/>
          <w:sz w:val="32"/>
          <w:szCs w:val="32"/>
          <w:highlight w:val="none"/>
        </w:rPr>
      </w:pPr>
    </w:p>
    <w:p>
      <w:pPr>
        <w:widowControl w:val="0"/>
        <w:adjustRightInd w:val="0"/>
        <w:snapToGrid w:val="0"/>
        <w:spacing w:line="240" w:lineRule="auto"/>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附表2</w:t>
      </w:r>
    </w:p>
    <w:p>
      <w:pPr>
        <w:widowControl w:val="0"/>
        <w:adjustRightInd w:val="0"/>
        <w:snapToGrid w:val="0"/>
        <w:spacing w:line="240" w:lineRule="auto"/>
        <w:jc w:val="center"/>
        <w:textAlignment w:val="auto"/>
        <w:rPr>
          <w:rFonts w:ascii="仿宋" w:hAnsi="仿宋" w:eastAsia="仿宋"/>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精神状态与社会参与能力评分表</w:t>
      </w:r>
    </w:p>
    <w:p>
      <w:pPr>
        <w:widowControl w:val="0"/>
        <w:spacing w:line="1" w:lineRule="exact"/>
        <w:jc w:val="both"/>
        <w:textAlignment w:val="auto"/>
        <w:rPr>
          <w:rFonts w:ascii="宋体" w:hAnsi="宋体" w:eastAsia="宋体" w:cs="宋体"/>
          <w:color w:val="auto"/>
          <w:sz w:val="22"/>
          <w:highlight w:val="none"/>
        </w:rPr>
      </w:pPr>
    </w:p>
    <w:p>
      <w:pPr>
        <w:widowControl w:val="0"/>
        <w:spacing w:line="1" w:lineRule="exact"/>
        <w:jc w:val="both"/>
        <w:textAlignment w:val="auto"/>
        <w:rPr>
          <w:rFonts w:ascii="宋体" w:hAnsi="宋体" w:eastAsia="宋体" w:cs="宋体"/>
          <w:color w:val="auto"/>
          <w:sz w:val="22"/>
          <w:highlight w:val="none"/>
        </w:rPr>
      </w:pPr>
    </w:p>
    <w:tbl>
      <w:tblPr>
        <w:tblStyle w:val="24"/>
        <w:tblW w:w="0" w:type="auto"/>
        <w:jc w:val="center"/>
        <w:tblLayout w:type="fixed"/>
        <w:tblCellMar>
          <w:top w:w="0" w:type="dxa"/>
          <w:left w:w="28" w:type="dxa"/>
          <w:bottom w:w="0" w:type="dxa"/>
          <w:right w:w="28" w:type="dxa"/>
        </w:tblCellMar>
      </w:tblPr>
      <w:tblGrid>
        <w:gridCol w:w="841"/>
        <w:gridCol w:w="7680"/>
        <w:gridCol w:w="778"/>
      </w:tblGrid>
      <w:tr>
        <w:tblPrEx>
          <w:tblCellMar>
            <w:top w:w="0" w:type="dxa"/>
            <w:left w:w="28" w:type="dxa"/>
            <w:bottom w:w="0" w:type="dxa"/>
            <w:right w:w="28" w:type="dxa"/>
          </w:tblCellMar>
        </w:tblPrEx>
        <w:trPr>
          <w:trHeight w:val="402" w:hRule="atLeast"/>
          <w:tblHeader/>
          <w:jc w:val="center"/>
        </w:trPr>
        <w:tc>
          <w:tcPr>
            <w:tcW w:w="84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line="240" w:lineRule="auto"/>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TW"/>
              </w:rPr>
              <w:t>评估项目</w:t>
            </w:r>
          </w:p>
        </w:tc>
        <w:tc>
          <w:tcPr>
            <w:tcW w:w="7680"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spacing w:line="240" w:lineRule="auto"/>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TW"/>
              </w:rPr>
              <w:t>具体评价指标及分值</w:t>
            </w:r>
          </w:p>
        </w:tc>
        <w:tc>
          <w:tcPr>
            <w:tcW w:w="778" w:type="dxa"/>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spacing w:line="240" w:lineRule="auto"/>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eastAsia="zh-TW"/>
              </w:rPr>
              <w:t>分值</w:t>
            </w:r>
          </w:p>
        </w:tc>
      </w:tr>
      <w:tr>
        <w:tblPrEx>
          <w:tblCellMar>
            <w:top w:w="0" w:type="dxa"/>
            <w:left w:w="28" w:type="dxa"/>
            <w:bottom w:w="0" w:type="dxa"/>
            <w:right w:w="28" w:type="dxa"/>
          </w:tblCellMar>
        </w:tblPrEx>
        <w:trPr>
          <w:trHeight w:val="402" w:hRule="atLeast"/>
          <w:jc w:val="center"/>
        </w:trPr>
        <w:tc>
          <w:tcPr>
            <w:tcW w:w="8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1.时间定向</w:t>
            </w: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0分 时间观念（年、月、日、时）清楚</w:t>
            </w:r>
          </w:p>
        </w:tc>
        <w:tc>
          <w:tcPr>
            <w:tcW w:w="778"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adjustRightInd w:val="0"/>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1分 时间观念有些下降，年、月、日清楚，但有时相差几天</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2分 时间观念较差，年、月、日不清楚，可知上半 年或下半年</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3分 时间观念很差，年、月、日不清楚，可知上午或下午</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5分 无时间观念</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8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2.空间定向</w:t>
            </w: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0分 可单独岀远门，能很快掌握新环境的方位</w:t>
            </w:r>
          </w:p>
        </w:tc>
        <w:tc>
          <w:tcPr>
            <w:tcW w:w="778"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adjustRightInd w:val="0"/>
              <w:snapToGrid w:val="0"/>
              <w:spacing w:line="240" w:lineRule="auto"/>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525"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1分 可单独来往于近街，知道现住地的名称和方位，但不知回家路线</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2分 只能单独在家附近行动，对现住地只知名称，不知道方位</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3分 只能在左邻右舍间串门，对现住地不知名称和方位</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02"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5分不能单独外出</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555" w:hRule="atLeast"/>
          <w:jc w:val="center"/>
        </w:trPr>
        <w:tc>
          <w:tcPr>
            <w:tcW w:w="8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3.人物定向</w:t>
            </w: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0分知道周围人们的关系，知道祖孙、叔伯、姑姨、侄子侄女等称谓的意义；可分辨陌生人的大致年龄和身份，可用适当称呼</w:t>
            </w:r>
          </w:p>
        </w:tc>
        <w:tc>
          <w:tcPr>
            <w:tcW w:w="778"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adjustRightInd w:val="0"/>
              <w:snapToGrid w:val="0"/>
              <w:spacing w:line="240"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5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1分 只知家中亲密近亲的关系，不会分辨陌生人的大致年龄，不能称呼陌生人</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35"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2分只能称呼家中人，或只能照样称呼，不知其关系，不辨辈分</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3分只认识常同住的亲人，可称呼子女或孙子女， 可辨熟人和生人</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5分只认识保护人，不辨熟人和生人</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415" w:hRule="atLeast"/>
          <w:jc w:val="center"/>
        </w:trPr>
        <w:tc>
          <w:tcPr>
            <w:tcW w:w="8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4.记忆</w:t>
            </w:r>
          </w:p>
        </w:tc>
        <w:tc>
          <w:tcPr>
            <w:tcW w:w="7680" w:type="dxa"/>
            <w:vMerge w:val="restart"/>
            <w:tcBorders>
              <w:top w:val="nil"/>
              <w:left w:val="single" w:color="auto" w:sz="4" w:space="0"/>
              <w:bottom w:val="single" w:color="auto" w:sz="4" w:space="0"/>
              <w:right w:val="single" w:color="auto" w:sz="4" w:space="0"/>
            </w:tcBorders>
            <w:shd w:val="clear" w:color="000000" w:fill="FFFFFF"/>
            <w:noWrap w:val="0"/>
            <w:vAlign w:val="bottom"/>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0分总是能够保持与社会、年龄所适应的长、短时 记忆，能够完整的回忆</w:t>
            </w:r>
          </w:p>
        </w:tc>
        <w:tc>
          <w:tcPr>
            <w:tcW w:w="77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w:t>
            </w:r>
          </w:p>
        </w:tc>
      </w:tr>
      <w:tr>
        <w:tblPrEx>
          <w:tblCellMar>
            <w:top w:w="0" w:type="dxa"/>
            <w:left w:w="28" w:type="dxa"/>
            <w:bottom w:w="0" w:type="dxa"/>
            <w:right w:w="28" w:type="dxa"/>
          </w:tblCellMar>
        </w:tblPrEx>
        <w:trPr>
          <w:trHeight w:val="41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415"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1分出现轻度的记忆紊乱或回忆不能（不能回忆即 时信息，3个词语经过5分钟后仅能回忆0一 1个）</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41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415"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vMerge w:val="restart"/>
            <w:tcBorders>
              <w:top w:val="nil"/>
              <w:left w:val="single" w:color="auto" w:sz="4" w:space="0"/>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2分 出现中度的记忆紊乱或回忆不能（不能回忆近 期记忆，不记得上一顿饭吃了什么）</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41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54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3分 出现重度的记忆紊乱或回忆不能（不能回忆远期记忆，不记得自己的老朋友）</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5分 记忆完全紊乱或完全不能对既往事物进行正确回忆</w:t>
            </w:r>
          </w:p>
        </w:tc>
        <w:tc>
          <w:tcPr>
            <w:tcW w:w="77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w:t>
            </w:r>
          </w:p>
        </w:tc>
      </w:tr>
      <w:tr>
        <w:tblPrEx>
          <w:tblCellMar>
            <w:top w:w="0" w:type="dxa"/>
            <w:left w:w="28" w:type="dxa"/>
            <w:bottom w:w="0" w:type="dxa"/>
            <w:right w:w="28" w:type="dxa"/>
          </w:tblCellMar>
        </w:tblPrEx>
        <w:trPr>
          <w:trHeight w:val="270"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5.攻击行为</w:t>
            </w: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0分 没出现</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1分 每月出现一两次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2分 每周出现一两次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3分 过去3天里出现过一两次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5分 过去3天里天天出现</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85" w:hRule="atLeast"/>
          <w:jc w:val="center"/>
        </w:trPr>
        <w:tc>
          <w:tcPr>
            <w:tcW w:w="841"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6.抑郁症状</w:t>
            </w: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0分 没出现</w:t>
            </w:r>
          </w:p>
        </w:tc>
        <w:tc>
          <w:tcPr>
            <w:tcW w:w="77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w:t>
            </w: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1分 每月出现一两次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xml:space="preserve">2分 每周出现一两次 </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3分 过去3天里出现过一两次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85" w:hRule="atLeast"/>
          <w:jc w:val="center"/>
        </w:trPr>
        <w:tc>
          <w:tcPr>
            <w:tcW w:w="841"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5分 过去3天里天天出现</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TW"/>
              </w:rPr>
              <w:t>强迫行为</w:t>
            </w: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0分 无强迫症状（如反复洗手、关门、上厕所等）</w:t>
            </w:r>
          </w:p>
        </w:tc>
        <w:tc>
          <w:tcPr>
            <w:tcW w:w="77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w:t>
            </w: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1分 每月有1-2次强迫行为</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2分 每周有1-2次强迫行为</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3分 过去3天里出现过一两次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5分 过去3天里天天出现</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8</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TW"/>
              </w:rPr>
              <w:t>财务管理</w:t>
            </w:r>
          </w:p>
        </w:tc>
        <w:tc>
          <w:tcPr>
            <w:tcW w:w="7680" w:type="dxa"/>
            <w:tcBorders>
              <w:top w:val="nil"/>
              <w:left w:val="nil"/>
              <w:bottom w:val="single" w:color="auto" w:sz="4" w:space="0"/>
              <w:right w:val="single" w:color="auto" w:sz="4" w:space="0"/>
            </w:tcBorders>
            <w:shd w:val="clear" w:color="000000" w:fill="FFFFFF"/>
            <w:noWrap w:val="0"/>
            <w:vAlign w:val="top"/>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0分 金钱的管理、支配、使用，能独立完成</w:t>
            </w:r>
          </w:p>
        </w:tc>
        <w:tc>
          <w:tcPr>
            <w:tcW w:w="778"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w:t>
            </w: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1分 因担心算错，每月管理约1000元</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2分 因担心算错，每月管理约300元</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3分 接触金钱机会少，主要由家属代管</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270" w:hRule="atLeast"/>
          <w:jc w:val="center"/>
        </w:trPr>
        <w:tc>
          <w:tcPr>
            <w:tcW w:w="84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c>
          <w:tcPr>
            <w:tcW w:w="7680" w:type="dxa"/>
            <w:tcBorders>
              <w:top w:val="nil"/>
              <w:left w:val="nil"/>
              <w:bottom w:val="single" w:color="auto" w:sz="4" w:space="0"/>
              <w:right w:val="single" w:color="auto" w:sz="4" w:space="0"/>
            </w:tcBorders>
            <w:shd w:val="clear" w:color="000000" w:fill="FFFFFF"/>
            <w:noWrap w:val="0"/>
            <w:vAlign w:val="bottom"/>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5分 完全不接触金钱等</w:t>
            </w:r>
          </w:p>
        </w:tc>
        <w:tc>
          <w:tcPr>
            <w:tcW w:w="778"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p>
        </w:tc>
      </w:tr>
      <w:tr>
        <w:tblPrEx>
          <w:tblCellMar>
            <w:top w:w="0" w:type="dxa"/>
            <w:left w:w="28" w:type="dxa"/>
            <w:bottom w:w="0" w:type="dxa"/>
            <w:right w:w="28" w:type="dxa"/>
          </w:tblCellMar>
        </w:tblPrEx>
        <w:trPr>
          <w:trHeight w:val="515" w:hRule="atLeast"/>
          <w:jc w:val="center"/>
        </w:trPr>
        <w:tc>
          <w:tcPr>
            <w:tcW w:w="929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上述评估项目总分为40分，本次评估得分为            分</w:t>
            </w:r>
            <w:r>
              <w:rPr>
                <w:rFonts w:hint="eastAsia" w:ascii="仿宋_GB2312" w:hAnsi="仿宋_GB2312" w:eastAsia="仿宋_GB2312" w:cs="仿宋_GB2312"/>
                <w:color w:val="auto"/>
                <w:kern w:val="0"/>
                <w:sz w:val="32"/>
                <w:szCs w:val="32"/>
                <w:highlight w:val="none"/>
              </w:rPr>
              <w:t>。</w:t>
            </w:r>
          </w:p>
        </w:tc>
      </w:tr>
    </w:tbl>
    <w:p>
      <w:pPr>
        <w:widowControl w:val="0"/>
        <w:spacing w:line="240" w:lineRule="auto"/>
        <w:jc w:val="left"/>
        <w:textAlignment w:val="auto"/>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br w:type="page"/>
      </w:r>
      <w:r>
        <w:rPr>
          <w:rFonts w:hint="eastAsia" w:ascii="黑体" w:hAnsi="黑体" w:eastAsia="黑体" w:cs="黑体"/>
          <w:color w:val="auto"/>
          <w:sz w:val="32"/>
          <w:szCs w:val="32"/>
          <w:highlight w:val="none"/>
        </w:rPr>
        <w:t>附表3</w:t>
      </w:r>
    </w:p>
    <w:p>
      <w:pPr>
        <w:widowControl w:val="0"/>
        <w:spacing w:line="240" w:lineRule="auto"/>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感知觉与沟通能力评估表</w:t>
      </w:r>
    </w:p>
    <w:tbl>
      <w:tblPr>
        <w:tblStyle w:val="24"/>
        <w:tblW w:w="0" w:type="auto"/>
        <w:jc w:val="center"/>
        <w:tblLayout w:type="fixed"/>
        <w:tblCellMar>
          <w:top w:w="0" w:type="dxa"/>
          <w:left w:w="28" w:type="dxa"/>
          <w:bottom w:w="0" w:type="dxa"/>
          <w:right w:w="28" w:type="dxa"/>
        </w:tblCellMar>
      </w:tblPr>
      <w:tblGrid>
        <w:gridCol w:w="1419"/>
        <w:gridCol w:w="6961"/>
        <w:gridCol w:w="845"/>
      </w:tblGrid>
      <w:tr>
        <w:tblPrEx>
          <w:tblCellMar>
            <w:top w:w="0" w:type="dxa"/>
            <w:left w:w="28" w:type="dxa"/>
            <w:bottom w:w="0" w:type="dxa"/>
            <w:right w:w="28" w:type="dxa"/>
          </w:tblCellMar>
        </w:tblPrEx>
        <w:trPr>
          <w:trHeight w:val="578" w:hRule="atLeast"/>
          <w:tblHeader/>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8" w:lineRule="auto"/>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评估项目</w:t>
            </w:r>
          </w:p>
        </w:tc>
        <w:tc>
          <w:tcPr>
            <w:tcW w:w="696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8" w:lineRule="auto"/>
              <w:jc w:val="center"/>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具体评价指标及分值</w:t>
            </w:r>
          </w:p>
        </w:tc>
        <w:tc>
          <w:tcPr>
            <w:tcW w:w="84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88" w:lineRule="auto"/>
              <w:jc w:val="both"/>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分值</w:t>
            </w:r>
          </w:p>
        </w:tc>
      </w:tr>
      <w:tr>
        <w:tblPrEx>
          <w:tblCellMar>
            <w:top w:w="0" w:type="dxa"/>
            <w:left w:w="28" w:type="dxa"/>
            <w:bottom w:w="0" w:type="dxa"/>
            <w:right w:w="28" w:type="dxa"/>
          </w:tblCellMar>
        </w:tblPrEx>
        <w:trPr>
          <w:trHeight w:val="270" w:hRule="atLeast"/>
          <w:jc w:val="center"/>
        </w:trPr>
        <w:tc>
          <w:tcPr>
            <w:tcW w:w="1419"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1.意识水平</w:t>
            </w: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O分神志清醒</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TW"/>
              </w:rPr>
              <w:t xml:space="preserve">对周围环境警觉 </w:t>
            </w:r>
            <w:r>
              <w:rPr>
                <w:rFonts w:hint="eastAsia" w:ascii="仿宋_GB2312" w:hAnsi="仿宋_GB2312" w:eastAsia="仿宋_GB2312" w:cs="仿宋_GB2312"/>
                <w:color w:val="auto"/>
                <w:kern w:val="0"/>
                <w:sz w:val="32"/>
                <w:szCs w:val="32"/>
                <w:highlight w:val="none"/>
              </w:rPr>
              <w:t>。</w:t>
            </w:r>
          </w:p>
        </w:tc>
        <w:tc>
          <w:tcPr>
            <w:tcW w:w="845"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54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 xml:space="preserve">1分嗜睡,表现为睡眠状态过度延长，当呼唤或推动其肢体时可唤醒，并能进行正确的交谈或执行指令,停 止刺激后又继续入睡。 </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81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2分昏睡,一般的外界刺激不能使其觉醒，给予较强烈的刺激时可有短时的意识清醒，醒后可简短回答提问，当刺激减弱后又很快进入睡眠状态。</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825"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3分昏迷，处于浅昏迷时对疼痛刺激 有回避和痛苦表情;处于深昏迷时对 刺激无反应。（若评定为昏迷,直接评定为重度失能,可不进行以下项目的评估）</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585" w:hRule="atLeast"/>
          <w:jc w:val="center"/>
        </w:trPr>
        <w:tc>
          <w:tcPr>
            <w:tcW w:w="1419"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2视力（若平日常带老花镜或近视镜,应在佩戴眼镜的情况下评估）</w:t>
            </w: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O分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视力完好，能看清书报上的标准字体。</w:t>
            </w:r>
          </w:p>
        </w:tc>
        <w:tc>
          <w:tcPr>
            <w:tcW w:w="845"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27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视力有限,看不清报纸标准体,但能辨认物体。</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54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辨认物体有困难</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TW"/>
              </w:rPr>
              <w:t>但</w:t>
            </w:r>
            <w:r>
              <w:rPr>
                <w:rFonts w:hint="eastAsia" w:ascii="仿宋_GB2312" w:hAnsi="仿宋_GB2312" w:eastAsia="仿宋_GB2312" w:cs="仿宋_GB2312"/>
                <w:color w:val="auto"/>
                <w:kern w:val="0"/>
                <w:sz w:val="32"/>
                <w:szCs w:val="32"/>
                <w:highlight w:val="none"/>
                <w:lang w:eastAsia="zh-CN"/>
              </w:rPr>
              <w:t>眼睛</w:t>
            </w:r>
            <w:r>
              <w:rPr>
                <w:rFonts w:hint="eastAsia" w:ascii="仿宋_GB2312" w:hAnsi="仿宋_GB2312" w:eastAsia="仿宋_GB2312" w:cs="仿宋_GB2312"/>
                <w:color w:val="auto"/>
                <w:kern w:val="0"/>
                <w:sz w:val="32"/>
                <w:szCs w:val="32"/>
                <w:highlight w:val="none"/>
                <w:lang w:eastAsia="zh-TW"/>
              </w:rPr>
              <w:t>能跟随 物体移动，只能看到光、颜色和形状。</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7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没有视力,</w:t>
            </w:r>
            <w:r>
              <w:rPr>
                <w:rFonts w:hint="eastAsia" w:ascii="仿宋_GB2312" w:hAnsi="仿宋_GB2312" w:eastAsia="仿宋_GB2312" w:cs="仿宋_GB2312"/>
                <w:color w:val="auto"/>
                <w:kern w:val="0"/>
                <w:sz w:val="32"/>
                <w:szCs w:val="32"/>
                <w:highlight w:val="none"/>
                <w:lang w:eastAsia="zh-CN"/>
              </w:rPr>
              <w:t>眼睛</w:t>
            </w:r>
            <w:r>
              <w:rPr>
                <w:rFonts w:hint="eastAsia" w:ascii="仿宋_GB2312" w:hAnsi="仿宋_GB2312" w:eastAsia="仿宋_GB2312" w:cs="仿宋_GB2312"/>
                <w:color w:val="auto"/>
                <w:kern w:val="0"/>
                <w:sz w:val="32"/>
                <w:szCs w:val="32"/>
                <w:highlight w:val="none"/>
                <w:lang w:eastAsia="zh-TW"/>
              </w:rPr>
              <w:t>不能跟随物体移</w:t>
            </w:r>
            <w:r>
              <w:rPr>
                <w:rFonts w:hint="eastAsia" w:ascii="仿宋_GB2312" w:hAnsi="仿宋_GB2312" w:eastAsia="仿宋_GB2312" w:cs="仿宋_GB2312"/>
                <w:color w:val="auto"/>
                <w:kern w:val="0"/>
                <w:sz w:val="32"/>
                <w:szCs w:val="32"/>
                <w:highlight w:val="none"/>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70" w:hRule="atLeast"/>
          <w:jc w:val="center"/>
        </w:trPr>
        <w:tc>
          <w:tcPr>
            <w:tcW w:w="1419"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TW"/>
              </w:rPr>
              <w:t>听力（若平时佩戴助听器,应在佩戴助听器的情况下评估）</w:t>
            </w: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0分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可正常交谈,能听到电视、电话</w:t>
            </w:r>
            <w:r>
              <w:rPr>
                <w:rFonts w:hint="eastAsia" w:ascii="仿宋_GB2312" w:hAnsi="仿宋_GB2312" w:eastAsia="仿宋_GB2312" w:cs="仿宋_GB2312"/>
                <w:color w:val="auto"/>
                <w:kern w:val="0"/>
                <w:sz w:val="32"/>
                <w:szCs w:val="32"/>
                <w:highlight w:val="none"/>
              </w:rPr>
              <w:t>、门铃的声音。</w:t>
            </w:r>
          </w:p>
        </w:tc>
        <w:tc>
          <w:tcPr>
            <w:tcW w:w="845"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27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在轻声说话或说话距离超过2米时听不清</w:t>
            </w:r>
            <w:r>
              <w:rPr>
                <w:rFonts w:hint="eastAsia" w:ascii="仿宋_GB2312" w:hAnsi="仿宋_GB2312" w:eastAsia="仿宋_GB2312" w:cs="仿宋_GB2312"/>
                <w:color w:val="auto"/>
                <w:kern w:val="0"/>
                <w:sz w:val="32"/>
                <w:szCs w:val="32"/>
                <w:highlight w:val="none"/>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54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正常交流有些困难,需在安静 的环境、大声说话或语速很慢，才能听到</w:t>
            </w:r>
            <w:r>
              <w:rPr>
                <w:rFonts w:hint="eastAsia" w:ascii="仿宋_GB2312" w:hAnsi="仿宋_GB2312" w:eastAsia="仿宋_GB2312" w:cs="仿宋_GB2312"/>
                <w:color w:val="auto"/>
                <w:kern w:val="0"/>
                <w:sz w:val="32"/>
                <w:szCs w:val="32"/>
                <w:highlight w:val="none"/>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7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完全听不见</w:t>
            </w:r>
            <w:r>
              <w:rPr>
                <w:rFonts w:hint="eastAsia" w:ascii="仿宋_GB2312" w:hAnsi="仿宋_GB2312" w:eastAsia="仿宋_GB2312" w:cs="仿宋_GB2312"/>
                <w:color w:val="auto"/>
                <w:kern w:val="0"/>
                <w:sz w:val="32"/>
                <w:szCs w:val="32"/>
                <w:highlight w:val="none"/>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70" w:hRule="atLeast"/>
          <w:jc w:val="center"/>
        </w:trPr>
        <w:tc>
          <w:tcPr>
            <w:tcW w:w="1419"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TW"/>
              </w:rPr>
              <w:t>沟通交流（包括非语言沟通）</w:t>
            </w: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O分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无困难与他人正常沟通和交流</w:t>
            </w:r>
            <w:r>
              <w:rPr>
                <w:rFonts w:hint="eastAsia" w:ascii="仿宋_GB2312" w:hAnsi="仿宋_GB2312" w:eastAsia="仿宋_GB2312" w:cs="仿宋_GB2312"/>
                <w:color w:val="auto"/>
                <w:kern w:val="0"/>
                <w:sz w:val="32"/>
                <w:szCs w:val="32"/>
                <w:highlight w:val="none"/>
              </w:rPr>
              <w:t>。</w:t>
            </w:r>
          </w:p>
        </w:tc>
        <w:tc>
          <w:tcPr>
            <w:tcW w:w="845"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p>
        </w:tc>
      </w:tr>
      <w:tr>
        <w:tblPrEx>
          <w:tblCellMar>
            <w:top w:w="0" w:type="dxa"/>
            <w:left w:w="28" w:type="dxa"/>
            <w:bottom w:w="0" w:type="dxa"/>
            <w:right w:w="28" w:type="dxa"/>
          </w:tblCellMar>
        </w:tblPrEx>
        <w:trPr>
          <w:trHeight w:val="54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1分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能够表达</w:t>
            </w:r>
            <w:r>
              <w:rPr>
                <w:rFonts w:hint="eastAsia" w:ascii="仿宋_GB2312" w:hAnsi="仿宋_GB2312" w:eastAsia="仿宋_GB2312" w:cs="仿宋_GB2312"/>
                <w:color w:val="auto"/>
                <w:kern w:val="0"/>
                <w:sz w:val="32"/>
                <w:szCs w:val="32"/>
                <w:highlight w:val="none"/>
                <w:lang w:eastAsia="zh-CN"/>
              </w:rPr>
              <w:t>自己</w:t>
            </w:r>
            <w:r>
              <w:rPr>
                <w:rFonts w:hint="eastAsia" w:ascii="仿宋_GB2312" w:hAnsi="仿宋_GB2312" w:eastAsia="仿宋_GB2312" w:cs="仿宋_GB2312"/>
                <w:color w:val="auto"/>
                <w:kern w:val="0"/>
                <w:sz w:val="32"/>
                <w:szCs w:val="32"/>
                <w:highlight w:val="none"/>
                <w:lang w:eastAsia="zh-TW"/>
              </w:rPr>
              <w:t>的需要或理解别人的话,但需要增加时问或给予帮助</w:t>
            </w:r>
            <w:r>
              <w:rPr>
                <w:rFonts w:hint="eastAsia" w:ascii="仿宋_GB2312" w:hAnsi="仿宋_GB2312" w:eastAsia="仿宋_GB2312" w:cs="仿宋_GB2312"/>
                <w:color w:val="auto"/>
                <w:kern w:val="0"/>
                <w:sz w:val="32"/>
                <w:szCs w:val="32"/>
                <w:highlight w:val="none"/>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7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2分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勉强可与人交往，谈吐内容不清，表情不恰当</w:t>
            </w:r>
            <w:r>
              <w:rPr>
                <w:rFonts w:hint="eastAsia" w:ascii="仿宋_GB2312" w:hAnsi="仿宋_GB2312" w:eastAsia="仿宋_GB2312" w:cs="仿宋_GB2312"/>
                <w:color w:val="auto"/>
                <w:kern w:val="0"/>
                <w:sz w:val="32"/>
                <w:szCs w:val="32"/>
                <w:highlight w:val="none"/>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270" w:hRule="atLeast"/>
          <w:jc w:val="center"/>
        </w:trPr>
        <w:tc>
          <w:tcPr>
            <w:tcW w:w="141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c>
          <w:tcPr>
            <w:tcW w:w="6961" w:type="dxa"/>
            <w:tcBorders>
              <w:top w:val="nil"/>
              <w:left w:val="nil"/>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TW"/>
              </w:rPr>
              <w:t>3分</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不能表达需要或理解他人的话</w:t>
            </w:r>
            <w:r>
              <w:rPr>
                <w:rFonts w:hint="eastAsia" w:ascii="仿宋_GB2312" w:hAnsi="仿宋_GB2312" w:eastAsia="仿宋_GB2312" w:cs="仿宋_GB2312"/>
                <w:color w:val="auto"/>
                <w:kern w:val="0"/>
                <w:sz w:val="32"/>
                <w:szCs w:val="32"/>
                <w:highlight w:val="none"/>
              </w:rPr>
              <w:t>。</w:t>
            </w:r>
          </w:p>
        </w:tc>
        <w:tc>
          <w:tcPr>
            <w:tcW w:w="845"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88" w:lineRule="auto"/>
              <w:jc w:val="left"/>
              <w:textAlignment w:val="auto"/>
              <w:rPr>
                <w:rFonts w:hint="eastAsia" w:ascii="仿宋_GB2312" w:hAnsi="仿宋_GB2312" w:eastAsia="仿宋_GB2312" w:cs="仿宋_GB2312"/>
                <w:color w:val="auto"/>
                <w:kern w:val="0"/>
                <w:sz w:val="32"/>
                <w:szCs w:val="32"/>
                <w:highlight w:val="none"/>
              </w:rPr>
            </w:pPr>
          </w:p>
        </w:tc>
      </w:tr>
      <w:tr>
        <w:tblPrEx>
          <w:tblCellMar>
            <w:top w:w="0" w:type="dxa"/>
            <w:left w:w="28" w:type="dxa"/>
            <w:bottom w:w="0" w:type="dxa"/>
            <w:right w:w="28" w:type="dxa"/>
          </w:tblCellMar>
        </w:tblPrEx>
        <w:trPr>
          <w:trHeight w:val="1020" w:hRule="atLeast"/>
          <w:jc w:val="center"/>
        </w:trPr>
        <w:tc>
          <w:tcPr>
            <w:tcW w:w="9225"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88" w:lineRule="auto"/>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上述评估项目总分为12分，本次评估得分为</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分</w:t>
            </w:r>
          </w:p>
        </w:tc>
      </w:tr>
    </w:tbl>
    <w:p>
      <w:pPr>
        <w:widowControl w:val="0"/>
        <w:spacing w:line="360" w:lineRule="auto"/>
        <w:jc w:val="left"/>
        <w:textAlignment w:val="auto"/>
        <w:rPr>
          <w:rFonts w:hint="eastAsia" w:ascii="黑体" w:hAnsi="黑体" w:eastAsia="黑体" w:cs="黑体"/>
          <w:color w:val="auto"/>
          <w:sz w:val="32"/>
          <w:szCs w:val="32"/>
          <w:highlight w:val="none"/>
        </w:rPr>
      </w:pPr>
      <w:r>
        <w:rPr>
          <w:rFonts w:hint="eastAsia" w:ascii="黑体" w:hAnsi="黑体" w:eastAsia="黑体"/>
          <w:color w:val="auto"/>
          <w:sz w:val="28"/>
          <w:szCs w:val="28"/>
          <w:highlight w:val="none"/>
        </w:rPr>
        <w:br w:type="page"/>
      </w:r>
      <w:r>
        <w:rPr>
          <w:rFonts w:hint="eastAsia" w:ascii="黑体" w:hAnsi="黑体" w:eastAsia="黑体" w:cs="黑体"/>
          <w:color w:val="auto"/>
          <w:sz w:val="32"/>
          <w:szCs w:val="32"/>
          <w:highlight w:val="none"/>
        </w:rPr>
        <w:t>附录3</w:t>
      </w:r>
    </w:p>
    <w:p>
      <w:pPr>
        <w:widowControl w:val="0"/>
        <w:spacing w:line="360" w:lineRule="auto"/>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老年综合征罹患情况（试行）</w:t>
      </w:r>
    </w:p>
    <w:p>
      <w:pPr>
        <w:widowControl/>
        <w:spacing w:line="240" w:lineRule="auto"/>
        <w:jc w:val="left"/>
        <w:textAlignment w:val="auto"/>
        <w:rPr>
          <w:rFonts w:hint="eastAsia" w:ascii="仿宋_GB2312" w:hAnsi="仿宋_GB2312" w:eastAsia="仿宋_GB2312" w:cs="仿宋_GB2312"/>
          <w:color w:val="auto"/>
          <w:kern w:val="0"/>
          <w:sz w:val="32"/>
          <w:szCs w:val="32"/>
          <w:highlight w:val="none"/>
          <w:lang w:eastAsia="zh-TW"/>
        </w:rPr>
      </w:pPr>
      <w:r>
        <w:rPr>
          <w:rFonts w:hint="eastAsia" w:ascii="仿宋" w:hAnsi="仿宋" w:eastAsia="仿宋" w:cs="宋体"/>
          <w:color w:val="auto"/>
          <w:kern w:val="0"/>
          <w:sz w:val="28"/>
          <w:szCs w:val="28"/>
          <w:highlight w:val="none"/>
        </w:rPr>
        <w:t xml:space="preserve">  </w:t>
      </w:r>
      <w:r>
        <w:rPr>
          <w:rFonts w:hint="eastAsia" w:ascii="仿宋_GB2312" w:hAnsi="仿宋_GB2312" w:eastAsia="仿宋_GB2312" w:cs="仿宋_GB2312"/>
          <w:color w:val="auto"/>
          <w:kern w:val="0"/>
          <w:sz w:val="32"/>
          <w:szCs w:val="32"/>
          <w:highlight w:val="none"/>
          <w:lang w:eastAsia="zh-TW"/>
        </w:rPr>
        <w:t>请判断老年人是否存在以下老年综合征：</w:t>
      </w:r>
    </w:p>
    <w:tbl>
      <w:tblPr>
        <w:tblStyle w:val="24"/>
        <w:tblW w:w="0" w:type="auto"/>
        <w:jc w:val="center"/>
        <w:tblLayout w:type="fixed"/>
        <w:tblCellMar>
          <w:top w:w="0" w:type="dxa"/>
          <w:left w:w="10" w:type="dxa"/>
          <w:bottom w:w="0" w:type="dxa"/>
          <w:right w:w="10" w:type="dxa"/>
        </w:tblCellMar>
      </w:tblPr>
      <w:tblGrid>
        <w:gridCol w:w="6238"/>
        <w:gridCol w:w="2741"/>
      </w:tblGrid>
      <w:tr>
        <w:tblPrEx>
          <w:tblCellMar>
            <w:top w:w="0" w:type="dxa"/>
            <w:left w:w="10" w:type="dxa"/>
            <w:bottom w:w="0" w:type="dxa"/>
            <w:right w:w="10" w:type="dxa"/>
          </w:tblCellMar>
        </w:tblPrEx>
        <w:trPr>
          <w:trHeight w:val="567" w:hRule="atLeast"/>
          <w:jc w:val="center"/>
        </w:trPr>
        <w:tc>
          <w:tcPr>
            <w:tcW w:w="6238" w:type="dxa"/>
            <w:tcBorders>
              <w:top w:val="single" w:color="auto" w:sz="4" w:space="0"/>
              <w:left w:val="single" w:color="auto" w:sz="4" w:space="0"/>
              <w:bottom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1.跌倒（30天内）</w:t>
            </w:r>
          </w:p>
        </w:tc>
        <w:tc>
          <w:tcPr>
            <w:tcW w:w="27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xml:space="preserve">口无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口有</w:t>
            </w:r>
          </w:p>
        </w:tc>
      </w:tr>
      <w:tr>
        <w:tblPrEx>
          <w:tblCellMar>
            <w:top w:w="0" w:type="dxa"/>
            <w:left w:w="10" w:type="dxa"/>
            <w:bottom w:w="0" w:type="dxa"/>
            <w:right w:w="10" w:type="dxa"/>
          </w:tblCellMar>
        </w:tblPrEx>
        <w:trPr>
          <w:trHeight w:val="567" w:hRule="atLeast"/>
          <w:jc w:val="center"/>
        </w:trPr>
        <w:tc>
          <w:tcPr>
            <w:tcW w:w="6238" w:type="dxa"/>
            <w:tcBorders>
              <w:top w:val="single" w:color="auto" w:sz="4" w:space="0"/>
              <w:left w:val="single" w:color="auto" w:sz="4" w:space="0"/>
              <w:bottom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2</w:t>
            </w:r>
            <w:r>
              <w:rPr>
                <w:rFonts w:hint="eastAsia" w:ascii="仿宋_GB2312" w:hAnsi="仿宋_GB2312" w:eastAsia="仿宋_GB2312" w:cs="仿宋_GB2312"/>
                <w:color w:val="auto"/>
                <w:kern w:val="0"/>
                <w:sz w:val="32"/>
                <w:szCs w:val="32"/>
                <w:highlight w:val="none"/>
              </w:rPr>
              <w:t>谵妄</w:t>
            </w:r>
            <w:r>
              <w:rPr>
                <w:rFonts w:hint="eastAsia" w:ascii="仿宋_GB2312" w:hAnsi="仿宋_GB2312" w:eastAsia="仿宋_GB2312" w:cs="仿宋_GB2312"/>
                <w:color w:val="auto"/>
                <w:kern w:val="0"/>
                <w:sz w:val="32"/>
                <w:szCs w:val="32"/>
                <w:highlight w:val="none"/>
                <w:lang w:eastAsia="zh-TW"/>
              </w:rPr>
              <w:t>（30天内）</w:t>
            </w:r>
          </w:p>
        </w:tc>
        <w:tc>
          <w:tcPr>
            <w:tcW w:w="27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xml:space="preserve">口无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口有</w:t>
            </w:r>
          </w:p>
        </w:tc>
      </w:tr>
      <w:tr>
        <w:tblPrEx>
          <w:tblCellMar>
            <w:top w:w="0" w:type="dxa"/>
            <w:left w:w="10" w:type="dxa"/>
            <w:bottom w:w="0" w:type="dxa"/>
            <w:right w:w="10" w:type="dxa"/>
          </w:tblCellMar>
        </w:tblPrEx>
        <w:trPr>
          <w:trHeight w:val="567" w:hRule="atLeast"/>
          <w:jc w:val="center"/>
        </w:trPr>
        <w:tc>
          <w:tcPr>
            <w:tcW w:w="6238" w:type="dxa"/>
            <w:tcBorders>
              <w:top w:val="single" w:color="auto" w:sz="4" w:space="0"/>
              <w:left w:val="single" w:color="auto" w:sz="4" w:space="0"/>
              <w:bottom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3.慢性疼痛</w:t>
            </w:r>
          </w:p>
        </w:tc>
        <w:tc>
          <w:tcPr>
            <w:tcW w:w="27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xml:space="preserve">口无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口有</w:t>
            </w:r>
          </w:p>
        </w:tc>
      </w:tr>
      <w:tr>
        <w:tblPrEx>
          <w:tblCellMar>
            <w:top w:w="0" w:type="dxa"/>
            <w:left w:w="10" w:type="dxa"/>
            <w:bottom w:w="0" w:type="dxa"/>
            <w:right w:w="10" w:type="dxa"/>
          </w:tblCellMar>
        </w:tblPrEx>
        <w:trPr>
          <w:trHeight w:val="567" w:hRule="atLeast"/>
          <w:jc w:val="center"/>
        </w:trPr>
        <w:tc>
          <w:tcPr>
            <w:tcW w:w="6238" w:type="dxa"/>
            <w:tcBorders>
              <w:top w:val="single" w:color="auto" w:sz="4" w:space="0"/>
              <w:left w:val="single" w:color="auto" w:sz="4" w:space="0"/>
              <w:bottom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4.老年帕金森综合征</w:t>
            </w:r>
          </w:p>
        </w:tc>
        <w:tc>
          <w:tcPr>
            <w:tcW w:w="27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xml:space="preserve">口无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口有</w:t>
            </w:r>
          </w:p>
        </w:tc>
      </w:tr>
      <w:tr>
        <w:tblPrEx>
          <w:tblCellMar>
            <w:top w:w="0" w:type="dxa"/>
            <w:left w:w="10" w:type="dxa"/>
            <w:bottom w:w="0" w:type="dxa"/>
            <w:right w:w="10" w:type="dxa"/>
          </w:tblCellMar>
        </w:tblPrEx>
        <w:trPr>
          <w:trHeight w:val="567" w:hRule="atLeast"/>
          <w:jc w:val="center"/>
        </w:trPr>
        <w:tc>
          <w:tcPr>
            <w:tcW w:w="6238" w:type="dxa"/>
            <w:tcBorders>
              <w:top w:val="single" w:color="auto" w:sz="4" w:space="0"/>
              <w:left w:val="single" w:color="auto" w:sz="4" w:space="0"/>
              <w:bottom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5.抑郁症</w:t>
            </w:r>
          </w:p>
        </w:tc>
        <w:tc>
          <w:tcPr>
            <w:tcW w:w="27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xml:space="preserve">口无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口有</w:t>
            </w:r>
          </w:p>
        </w:tc>
      </w:tr>
      <w:tr>
        <w:tblPrEx>
          <w:tblCellMar>
            <w:top w:w="0" w:type="dxa"/>
            <w:left w:w="10" w:type="dxa"/>
            <w:bottom w:w="0" w:type="dxa"/>
            <w:right w:w="10" w:type="dxa"/>
          </w:tblCellMar>
        </w:tblPrEx>
        <w:trPr>
          <w:trHeight w:val="567" w:hRule="atLeast"/>
          <w:jc w:val="center"/>
        </w:trPr>
        <w:tc>
          <w:tcPr>
            <w:tcW w:w="6238" w:type="dxa"/>
            <w:tcBorders>
              <w:top w:val="single" w:color="auto" w:sz="4" w:space="0"/>
              <w:left w:val="single" w:color="auto" w:sz="4" w:space="0"/>
              <w:bottom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6.晕厥（30天内）</w:t>
            </w:r>
          </w:p>
        </w:tc>
        <w:tc>
          <w:tcPr>
            <w:tcW w:w="27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xml:space="preserve">口无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口有</w:t>
            </w:r>
          </w:p>
        </w:tc>
      </w:tr>
      <w:tr>
        <w:tblPrEx>
          <w:tblCellMar>
            <w:top w:w="0" w:type="dxa"/>
            <w:left w:w="10" w:type="dxa"/>
            <w:bottom w:w="0" w:type="dxa"/>
            <w:right w:w="10" w:type="dxa"/>
          </w:tblCellMar>
        </w:tblPrEx>
        <w:trPr>
          <w:trHeight w:val="567" w:hRule="atLeast"/>
          <w:jc w:val="center"/>
        </w:trPr>
        <w:tc>
          <w:tcPr>
            <w:tcW w:w="6238" w:type="dxa"/>
            <w:tcBorders>
              <w:top w:val="single" w:color="auto" w:sz="4" w:space="0"/>
              <w:left w:val="single" w:color="auto" w:sz="4" w:space="0"/>
              <w:bottom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7.多重用药</w:t>
            </w:r>
          </w:p>
        </w:tc>
        <w:tc>
          <w:tcPr>
            <w:tcW w:w="27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xml:space="preserve">口无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口有</w:t>
            </w:r>
          </w:p>
        </w:tc>
      </w:tr>
      <w:tr>
        <w:tblPrEx>
          <w:tblCellMar>
            <w:top w:w="0" w:type="dxa"/>
            <w:left w:w="10" w:type="dxa"/>
            <w:bottom w:w="0" w:type="dxa"/>
            <w:right w:w="10" w:type="dxa"/>
          </w:tblCellMar>
        </w:tblPrEx>
        <w:trPr>
          <w:trHeight w:val="567" w:hRule="atLeast"/>
          <w:jc w:val="center"/>
        </w:trPr>
        <w:tc>
          <w:tcPr>
            <w:tcW w:w="6238" w:type="dxa"/>
            <w:tcBorders>
              <w:top w:val="single" w:color="auto" w:sz="4" w:space="0"/>
              <w:left w:val="single" w:color="auto" w:sz="4" w:space="0"/>
              <w:bottom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8痴呆</w:t>
            </w:r>
          </w:p>
        </w:tc>
        <w:tc>
          <w:tcPr>
            <w:tcW w:w="27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xml:space="preserve">口无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口有</w:t>
            </w:r>
          </w:p>
        </w:tc>
      </w:tr>
      <w:tr>
        <w:tblPrEx>
          <w:tblCellMar>
            <w:top w:w="0" w:type="dxa"/>
            <w:left w:w="10" w:type="dxa"/>
            <w:bottom w:w="0" w:type="dxa"/>
            <w:right w:w="10" w:type="dxa"/>
          </w:tblCellMar>
        </w:tblPrEx>
        <w:trPr>
          <w:trHeight w:val="567" w:hRule="atLeast"/>
          <w:jc w:val="center"/>
        </w:trPr>
        <w:tc>
          <w:tcPr>
            <w:tcW w:w="6238" w:type="dxa"/>
            <w:tcBorders>
              <w:top w:val="single" w:color="auto" w:sz="4" w:space="0"/>
              <w:left w:val="single" w:color="auto" w:sz="4" w:space="0"/>
              <w:bottom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9.失眠症</w:t>
            </w:r>
          </w:p>
        </w:tc>
        <w:tc>
          <w:tcPr>
            <w:tcW w:w="27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xml:space="preserve">口无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口有</w:t>
            </w:r>
          </w:p>
        </w:tc>
      </w:tr>
      <w:tr>
        <w:tblPrEx>
          <w:tblCellMar>
            <w:top w:w="0" w:type="dxa"/>
            <w:left w:w="10" w:type="dxa"/>
            <w:bottom w:w="0" w:type="dxa"/>
            <w:right w:w="10" w:type="dxa"/>
          </w:tblCellMar>
        </w:tblPrEx>
        <w:trPr>
          <w:trHeight w:val="567" w:hRule="atLeast"/>
          <w:jc w:val="center"/>
        </w:trPr>
        <w:tc>
          <w:tcPr>
            <w:tcW w:w="6238" w:type="dxa"/>
            <w:tcBorders>
              <w:top w:val="single" w:color="auto" w:sz="4" w:space="0"/>
              <w:left w:val="single" w:color="auto" w:sz="4" w:space="0"/>
              <w:bottom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en-US"/>
              </w:rPr>
              <w:t>10.</w:t>
            </w:r>
            <w:r>
              <w:rPr>
                <w:rFonts w:hint="eastAsia" w:ascii="仿宋_GB2312" w:hAnsi="仿宋_GB2312" w:eastAsia="仿宋_GB2312" w:cs="仿宋_GB2312"/>
                <w:color w:val="auto"/>
                <w:kern w:val="0"/>
                <w:sz w:val="32"/>
                <w:szCs w:val="32"/>
                <w:highlight w:val="none"/>
                <w:lang w:eastAsia="zh-TW"/>
              </w:rPr>
              <w:t>尿失禁</w:t>
            </w:r>
          </w:p>
        </w:tc>
        <w:tc>
          <w:tcPr>
            <w:tcW w:w="27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xml:space="preserve">口无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口有</w:t>
            </w:r>
          </w:p>
        </w:tc>
      </w:tr>
      <w:tr>
        <w:tblPrEx>
          <w:tblCellMar>
            <w:top w:w="0" w:type="dxa"/>
            <w:left w:w="10" w:type="dxa"/>
            <w:bottom w:w="0" w:type="dxa"/>
            <w:right w:w="10" w:type="dxa"/>
          </w:tblCellMar>
        </w:tblPrEx>
        <w:trPr>
          <w:trHeight w:val="567" w:hRule="atLeast"/>
          <w:jc w:val="center"/>
        </w:trPr>
        <w:tc>
          <w:tcPr>
            <w:tcW w:w="6238" w:type="dxa"/>
            <w:tcBorders>
              <w:top w:val="single" w:color="auto" w:sz="4" w:space="0"/>
              <w:left w:val="single" w:color="auto" w:sz="4" w:space="0"/>
              <w:bottom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11.压力性损伤</w:t>
            </w:r>
          </w:p>
        </w:tc>
        <w:tc>
          <w:tcPr>
            <w:tcW w:w="27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auto"/>
              <w:jc w:val="both"/>
              <w:textAlignment w:val="auto"/>
              <w:rPr>
                <w:rFonts w:hint="eastAsia" w:ascii="仿宋_GB2312" w:hAnsi="仿宋_GB2312" w:eastAsia="仿宋_GB2312" w:cs="仿宋_GB2312"/>
                <w:color w:val="auto"/>
                <w:kern w:val="0"/>
                <w:sz w:val="32"/>
                <w:szCs w:val="32"/>
                <w:highlight w:val="none"/>
                <w:lang w:eastAsia="zh-TW"/>
              </w:rPr>
            </w:pPr>
            <w:r>
              <w:rPr>
                <w:rFonts w:hint="eastAsia" w:ascii="仿宋_GB2312" w:hAnsi="仿宋_GB2312" w:eastAsia="仿宋_GB2312" w:cs="仿宋_GB2312"/>
                <w:color w:val="auto"/>
                <w:kern w:val="0"/>
                <w:sz w:val="32"/>
                <w:szCs w:val="32"/>
                <w:highlight w:val="none"/>
                <w:lang w:eastAsia="zh-TW"/>
              </w:rPr>
              <w:t xml:space="preserve">口无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TW"/>
              </w:rPr>
              <w:t>口有</w:t>
            </w:r>
          </w:p>
        </w:tc>
      </w:tr>
      <w:tr>
        <w:tblPrEx>
          <w:tblCellMar>
            <w:top w:w="0" w:type="dxa"/>
            <w:left w:w="10" w:type="dxa"/>
            <w:bottom w:w="0" w:type="dxa"/>
            <w:right w:w="10" w:type="dxa"/>
          </w:tblCellMar>
        </w:tblPrEx>
        <w:trPr>
          <w:trHeight w:val="567" w:hRule="atLeast"/>
          <w:jc w:val="center"/>
        </w:trPr>
        <w:tc>
          <w:tcPr>
            <w:tcW w:w="897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6"/>
              <w:widowControl w:val="0"/>
              <w:spacing w:line="240" w:lineRule="auto"/>
              <w:ind w:firstLine="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12.其他（请补充）：</w:t>
            </w:r>
          </w:p>
        </w:tc>
      </w:tr>
    </w:tbl>
    <w:p>
      <w:pPr>
        <w:widowControl w:val="0"/>
        <w:spacing w:line="240" w:lineRule="auto"/>
        <w:jc w:val="both"/>
        <w:textAlignment w:val="auto"/>
        <w:rPr>
          <w:rFonts w:hint="eastAsia" w:ascii="仿宋" w:hAnsi="仿宋" w:eastAsia="仿宋"/>
          <w:color w:val="auto"/>
          <w:highlight w:val="none"/>
        </w:rPr>
      </w:pPr>
    </w:p>
    <w:p>
      <w:pPr>
        <w:rPr>
          <w:rFonts w:hint="eastAsia"/>
          <w:lang w:val="en-US" w:eastAsia="zh-CN"/>
        </w:rPr>
      </w:pPr>
    </w:p>
    <w:sectPr>
      <w:headerReference r:id="rId7" w:type="default"/>
      <w:footerReference r:id="rId8" w:type="default"/>
      <w:pgSz w:w="11906" w:h="16838"/>
      <w:pgMar w:top="1440" w:right="1800" w:bottom="1440" w:left="1800" w:header="851" w:footer="850"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4" w:lineRule="auto"/>
      <w:jc w:val="both"/>
      <w:rPr>
        <w:rFonts w:ascii="宋体" w:hAnsi="宋体" w:eastAsia="宋体" w:cs="宋体"/>
        <w:kern w:val="2"/>
        <w:sz w:val="20"/>
        <w:szCs w:val="28"/>
        <w:lang w:val="en-US" w:eastAsia="zh-CN" w:bidi="ar-SA"/>
      </w:rPr>
    </w:pPr>
    <w:r>
      <w:rPr>
        <w:rFonts w:ascii="宋体" w:hAnsi="宋体" w:eastAsia="宋体" w:cs="宋体"/>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9642475</wp:posOffset>
              </wp:positionV>
              <wp:extent cx="523875" cy="47053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23875" cy="470535"/>
                      </a:xfrm>
                      <a:prstGeom prst="rect">
                        <a:avLst/>
                      </a:prstGeom>
                      <a:noFill/>
                      <a:ln>
                        <a:noFill/>
                      </a:ln>
                    </wps:spPr>
                    <wps:txbx>
                      <w:txbxContent>
                        <w:p>
                          <w:pPr>
                            <w:widowControl w:val="0"/>
                            <w:spacing w:line="203" w:lineRule="exact"/>
                            <w:ind w:left="60"/>
                            <w:jc w:val="left"/>
                            <w:textAlignment w:val="auto"/>
                            <w:rPr>
                              <w:rFonts w:hint="eastAsia" w:ascii="宋体" w:hAnsi="宋体" w:eastAsia="宋体" w:cs="宋体"/>
                              <w:sz w:val="28"/>
                              <w:szCs w:val="28"/>
                            </w:rPr>
                          </w:pPr>
                        </w:p>
                        <w:p>
                          <w:pPr>
                            <w:widowControl w:val="0"/>
                            <w:snapToGrid w:val="0"/>
                            <w:spacing w:line="360" w:lineRule="auto"/>
                            <w:jc w:val="left"/>
                            <w:textAlignment w:val="auto"/>
                            <w:rPr>
                              <w:rFonts w:ascii="Calibri" w:hAnsi="Times New Roman"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top:759.25pt;height:37.05pt;width:41.25pt;mso-position-horizontal:outside;mso-position-horizontal-relative:margin;mso-position-vertical-relative:page;z-index:251659264;mso-width-relative:page;mso-height-relative:page;" filled="f" stroked="f" coordsize="21600,21600" o:gfxdata="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OWiXLXAAAACQEAAA8AAAAAAAAAAQAgAAAAIgAAAGRycy9kb3ducmV2LnhtbFBLAQIU&#10;ABQAAAAIAIdO4kASdIojuwEAAHEDAAAOAAAAAAAAAAEAIAAAACYBAABkcnMvZTJvRG9jLnhtbFBL&#10;BQYAAAAABgAGAFkBAABTBQAAAAA=&#10;">
              <v:fill on="f" focussize="0,0"/>
              <v:stroke on="f"/>
              <v:imagedata o:title=""/>
              <o:lock v:ext="edit" aspectratio="f"/>
              <v:textbox inset="0mm,0mm,0mm,0mm">
                <w:txbxContent>
                  <w:p>
                    <w:pPr>
                      <w:widowControl w:val="0"/>
                      <w:spacing w:line="203" w:lineRule="exact"/>
                      <w:ind w:left="60"/>
                      <w:jc w:val="left"/>
                      <w:textAlignment w:val="auto"/>
                      <w:rPr>
                        <w:rFonts w:hint="eastAsia" w:ascii="宋体" w:hAnsi="宋体" w:eastAsia="宋体" w:cs="宋体"/>
                        <w:sz w:val="28"/>
                        <w:szCs w:val="28"/>
                      </w:rPr>
                    </w:pPr>
                  </w:p>
                  <w:p>
                    <w:pPr>
                      <w:widowControl w:val="0"/>
                      <w:snapToGrid w:val="0"/>
                      <w:spacing w:line="360" w:lineRule="auto"/>
                      <w:jc w:val="left"/>
                      <w:textAlignment w:val="auto"/>
                      <w:rPr>
                        <w:rFonts w:ascii="Calibri" w:hAnsi="Times New Roman"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base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4" w:lineRule="auto"/>
      <w:jc w:val="both"/>
      <w:rPr>
        <w:rFonts w:ascii="宋体" w:hAnsi="宋体" w:eastAsia="宋体" w:cs="宋体"/>
        <w:kern w:val="2"/>
        <w:sz w:val="20"/>
        <w:szCs w:val="2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79F90"/>
    <w:multiLevelType w:val="multilevel"/>
    <w:tmpl w:val="86179F90"/>
    <w:lvl w:ilvl="0" w:tentative="0">
      <w:start w:val="1"/>
      <w:numFmt w:val="chineseCounting"/>
      <w:pStyle w:val="3"/>
      <w:suff w:val="space"/>
      <w:lvlText w:val="第%1章 "/>
      <w:lvlJc w:val="left"/>
      <w:pPr>
        <w:tabs>
          <w:tab w:val="left" w:pos="420"/>
        </w:tabs>
        <w:ind w:left="425" w:hanging="425"/>
      </w:pPr>
      <w:rPr>
        <w:rFonts w:hint="eastAsia"/>
      </w:rPr>
    </w:lvl>
    <w:lvl w:ilvl="1" w:tentative="0">
      <w:start w:val="1"/>
      <w:numFmt w:val="decimal"/>
      <w:pStyle w:val="4"/>
      <w:isLgl/>
      <w:suff w:val="space"/>
      <w:lvlText w:val="%1.%2."/>
      <w:lvlJc w:val="left"/>
      <w:pPr>
        <w:tabs>
          <w:tab w:val="left" w:pos="420"/>
        </w:tabs>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87E0CC31"/>
    <w:multiLevelType w:val="multilevel"/>
    <w:tmpl w:val="87E0CC31"/>
    <w:lvl w:ilvl="0" w:tentative="0">
      <w:start w:val="1"/>
      <w:numFmt w:val="chineseCounting"/>
      <w:suff w:val="nothing"/>
      <w:lvlText w:val="第%1章 "/>
      <w:lvlJc w:val="left"/>
      <w:pPr>
        <w:ind w:left="432" w:hanging="432"/>
      </w:pPr>
      <w:rPr>
        <w:rFonts w:hint="eastAsia"/>
      </w:rPr>
    </w:lvl>
    <w:lvl w:ilvl="1" w:tentative="0">
      <w:start w:val="1"/>
      <w:numFmt w:val="decimal"/>
      <w:isLgl/>
      <w:suff w:val="space"/>
      <w:lvlText w:val="%1.%2"/>
      <w:lvlJc w:val="left"/>
      <w:pPr>
        <w:tabs>
          <w:tab w:val="left" w:pos="0"/>
        </w:tabs>
        <w:ind w:left="0" w:leftChars="0" w:firstLine="0" w:firstLineChars="0"/>
      </w:pPr>
      <w:rPr>
        <w:rFonts w:hint="eastAsia" w:ascii="宋体" w:hAnsi="宋体" w:eastAsia="宋体" w:cs="宋体"/>
        <w:szCs w:val="24"/>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2">
    <w:nsid w:val="F91F19AE"/>
    <w:multiLevelType w:val="singleLevel"/>
    <w:tmpl w:val="F91F19AE"/>
    <w:lvl w:ilvl="0" w:tentative="0">
      <w:start w:val="1"/>
      <w:numFmt w:val="decimal"/>
      <w:lvlText w:val="%1."/>
      <w:lvlJc w:val="left"/>
      <w:pPr>
        <w:tabs>
          <w:tab w:val="left" w:pos="312"/>
        </w:tabs>
      </w:pPr>
    </w:lvl>
  </w:abstractNum>
  <w:abstractNum w:abstractNumId="3">
    <w:nsid w:val="6A4F235F"/>
    <w:multiLevelType w:val="multilevel"/>
    <w:tmpl w:val="6A4F235F"/>
    <w:lvl w:ilvl="0" w:tentative="0">
      <w:start w:val="1"/>
      <w:numFmt w:val="decimalEnclosedCircle"/>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GM1Y2FiNjc3MTkyZTZmYmM1ZDdiOWYxM2JlODUifQ=="/>
  </w:docVars>
  <w:rsids>
    <w:rsidRoot w:val="00000000"/>
    <w:rsid w:val="00575BB1"/>
    <w:rsid w:val="00BB1AC3"/>
    <w:rsid w:val="01076A0D"/>
    <w:rsid w:val="014974F4"/>
    <w:rsid w:val="01D861DA"/>
    <w:rsid w:val="022E3AD3"/>
    <w:rsid w:val="02C02722"/>
    <w:rsid w:val="03351BD3"/>
    <w:rsid w:val="044A0C68"/>
    <w:rsid w:val="046B19E4"/>
    <w:rsid w:val="04732647"/>
    <w:rsid w:val="04960995"/>
    <w:rsid w:val="05896C23"/>
    <w:rsid w:val="05D05BD6"/>
    <w:rsid w:val="062E7227"/>
    <w:rsid w:val="06336DDC"/>
    <w:rsid w:val="065C332B"/>
    <w:rsid w:val="068C11C4"/>
    <w:rsid w:val="06977505"/>
    <w:rsid w:val="06993E7B"/>
    <w:rsid w:val="06E91AA9"/>
    <w:rsid w:val="072E2612"/>
    <w:rsid w:val="076676A4"/>
    <w:rsid w:val="07980477"/>
    <w:rsid w:val="080F08D8"/>
    <w:rsid w:val="082B32BA"/>
    <w:rsid w:val="08A42CF4"/>
    <w:rsid w:val="08CF2AB1"/>
    <w:rsid w:val="08EB2D4B"/>
    <w:rsid w:val="08EC6A47"/>
    <w:rsid w:val="092B04EE"/>
    <w:rsid w:val="095073FA"/>
    <w:rsid w:val="0968078F"/>
    <w:rsid w:val="097924AD"/>
    <w:rsid w:val="097F6E86"/>
    <w:rsid w:val="099E4BE6"/>
    <w:rsid w:val="09B15E18"/>
    <w:rsid w:val="09DF0839"/>
    <w:rsid w:val="0A0E77C7"/>
    <w:rsid w:val="0A2A20BB"/>
    <w:rsid w:val="0AA84310"/>
    <w:rsid w:val="0AB06CC8"/>
    <w:rsid w:val="0ACE0464"/>
    <w:rsid w:val="0AF3175C"/>
    <w:rsid w:val="0B422678"/>
    <w:rsid w:val="0B457414"/>
    <w:rsid w:val="0B563D4B"/>
    <w:rsid w:val="0BA0192B"/>
    <w:rsid w:val="0C0B299C"/>
    <w:rsid w:val="0C2A514E"/>
    <w:rsid w:val="0CE51A54"/>
    <w:rsid w:val="0D5C56CA"/>
    <w:rsid w:val="0D95172A"/>
    <w:rsid w:val="0D951C50"/>
    <w:rsid w:val="0DAA55C8"/>
    <w:rsid w:val="0E4B7DEA"/>
    <w:rsid w:val="0E88465C"/>
    <w:rsid w:val="0EA97E09"/>
    <w:rsid w:val="0ECB2D70"/>
    <w:rsid w:val="0ED52D7C"/>
    <w:rsid w:val="0ED675FD"/>
    <w:rsid w:val="0EEA3077"/>
    <w:rsid w:val="0EFE331A"/>
    <w:rsid w:val="0F2C7218"/>
    <w:rsid w:val="0F3A2255"/>
    <w:rsid w:val="0F431E9D"/>
    <w:rsid w:val="0F5B67A8"/>
    <w:rsid w:val="0FFB743D"/>
    <w:rsid w:val="10110356"/>
    <w:rsid w:val="10167573"/>
    <w:rsid w:val="102F3F33"/>
    <w:rsid w:val="10DB12EB"/>
    <w:rsid w:val="10FE1C80"/>
    <w:rsid w:val="11252F1A"/>
    <w:rsid w:val="11321245"/>
    <w:rsid w:val="113A003D"/>
    <w:rsid w:val="11576171"/>
    <w:rsid w:val="11A033A3"/>
    <w:rsid w:val="11B048ED"/>
    <w:rsid w:val="11F5236B"/>
    <w:rsid w:val="11F9487A"/>
    <w:rsid w:val="12837D99"/>
    <w:rsid w:val="12A360E6"/>
    <w:rsid w:val="12BF2E33"/>
    <w:rsid w:val="12BF544B"/>
    <w:rsid w:val="12C556F3"/>
    <w:rsid w:val="12CC4E90"/>
    <w:rsid w:val="13070788"/>
    <w:rsid w:val="1319097B"/>
    <w:rsid w:val="131D09E3"/>
    <w:rsid w:val="133616E2"/>
    <w:rsid w:val="13451652"/>
    <w:rsid w:val="13475AB7"/>
    <w:rsid w:val="139B649A"/>
    <w:rsid w:val="13AC20DD"/>
    <w:rsid w:val="13B02E76"/>
    <w:rsid w:val="13E65B46"/>
    <w:rsid w:val="140C3B0E"/>
    <w:rsid w:val="143F2545"/>
    <w:rsid w:val="14706530"/>
    <w:rsid w:val="1480214E"/>
    <w:rsid w:val="15141074"/>
    <w:rsid w:val="152E5B6B"/>
    <w:rsid w:val="15485925"/>
    <w:rsid w:val="155511C7"/>
    <w:rsid w:val="15833B55"/>
    <w:rsid w:val="15E1296A"/>
    <w:rsid w:val="15E536DF"/>
    <w:rsid w:val="15EB4E6A"/>
    <w:rsid w:val="15EC088E"/>
    <w:rsid w:val="161D7A6F"/>
    <w:rsid w:val="165D4FD4"/>
    <w:rsid w:val="16A74369"/>
    <w:rsid w:val="16D472C8"/>
    <w:rsid w:val="16E92923"/>
    <w:rsid w:val="1705612B"/>
    <w:rsid w:val="17E12034"/>
    <w:rsid w:val="180C0990"/>
    <w:rsid w:val="182919BE"/>
    <w:rsid w:val="182E4D70"/>
    <w:rsid w:val="184748A3"/>
    <w:rsid w:val="184749DE"/>
    <w:rsid w:val="185E23D8"/>
    <w:rsid w:val="18625E31"/>
    <w:rsid w:val="18636AE8"/>
    <w:rsid w:val="18BF5D6F"/>
    <w:rsid w:val="18EB7689"/>
    <w:rsid w:val="19123497"/>
    <w:rsid w:val="1914613E"/>
    <w:rsid w:val="19246E1C"/>
    <w:rsid w:val="19266802"/>
    <w:rsid w:val="194071B0"/>
    <w:rsid w:val="19C61352"/>
    <w:rsid w:val="1A047DBD"/>
    <w:rsid w:val="1A087739"/>
    <w:rsid w:val="1A485DE9"/>
    <w:rsid w:val="1A4C32C6"/>
    <w:rsid w:val="1A9829AF"/>
    <w:rsid w:val="1A9C7004"/>
    <w:rsid w:val="1A9F3105"/>
    <w:rsid w:val="1A9F6F05"/>
    <w:rsid w:val="1AE531A4"/>
    <w:rsid w:val="1B0B2485"/>
    <w:rsid w:val="1B28788F"/>
    <w:rsid w:val="1B4377B5"/>
    <w:rsid w:val="1B755320"/>
    <w:rsid w:val="1B7B08D1"/>
    <w:rsid w:val="1BA73AA4"/>
    <w:rsid w:val="1BB73749"/>
    <w:rsid w:val="1BD12C96"/>
    <w:rsid w:val="1BEC3A64"/>
    <w:rsid w:val="1C2D7273"/>
    <w:rsid w:val="1C3146DA"/>
    <w:rsid w:val="1CC66615"/>
    <w:rsid w:val="1CCC633E"/>
    <w:rsid w:val="1CDC6D15"/>
    <w:rsid w:val="1D0906BB"/>
    <w:rsid w:val="1D4C33F0"/>
    <w:rsid w:val="1D547FB4"/>
    <w:rsid w:val="1D7E1E72"/>
    <w:rsid w:val="1D9D1ED9"/>
    <w:rsid w:val="1DCB7E60"/>
    <w:rsid w:val="1DD40918"/>
    <w:rsid w:val="1DF84FC9"/>
    <w:rsid w:val="1E805D69"/>
    <w:rsid w:val="1EDC165B"/>
    <w:rsid w:val="1EF54C87"/>
    <w:rsid w:val="1F6F0FE2"/>
    <w:rsid w:val="1F870D20"/>
    <w:rsid w:val="1F876ED8"/>
    <w:rsid w:val="1F993631"/>
    <w:rsid w:val="1FB75AF3"/>
    <w:rsid w:val="1FDC05B2"/>
    <w:rsid w:val="200D117F"/>
    <w:rsid w:val="2043553F"/>
    <w:rsid w:val="20727DD8"/>
    <w:rsid w:val="207E5832"/>
    <w:rsid w:val="20A609F4"/>
    <w:rsid w:val="20D82189"/>
    <w:rsid w:val="20DB22C8"/>
    <w:rsid w:val="20E11B69"/>
    <w:rsid w:val="20EB4A12"/>
    <w:rsid w:val="20FB1FD1"/>
    <w:rsid w:val="21271B30"/>
    <w:rsid w:val="21817DC8"/>
    <w:rsid w:val="21A17A20"/>
    <w:rsid w:val="21BF1549"/>
    <w:rsid w:val="21CC3338"/>
    <w:rsid w:val="220A127E"/>
    <w:rsid w:val="22582B2D"/>
    <w:rsid w:val="22A7377A"/>
    <w:rsid w:val="22C33482"/>
    <w:rsid w:val="234B61D6"/>
    <w:rsid w:val="236D7992"/>
    <w:rsid w:val="237E0413"/>
    <w:rsid w:val="23831E85"/>
    <w:rsid w:val="23F54DA7"/>
    <w:rsid w:val="240045EA"/>
    <w:rsid w:val="24006ABF"/>
    <w:rsid w:val="241B54BC"/>
    <w:rsid w:val="24A574F5"/>
    <w:rsid w:val="24BF6BA5"/>
    <w:rsid w:val="2535425C"/>
    <w:rsid w:val="25B05230"/>
    <w:rsid w:val="25C4174D"/>
    <w:rsid w:val="26167F07"/>
    <w:rsid w:val="26356B63"/>
    <w:rsid w:val="2646191E"/>
    <w:rsid w:val="266E50FA"/>
    <w:rsid w:val="26856269"/>
    <w:rsid w:val="273B55E0"/>
    <w:rsid w:val="27745192"/>
    <w:rsid w:val="277827B9"/>
    <w:rsid w:val="278C7E2E"/>
    <w:rsid w:val="27CF13DE"/>
    <w:rsid w:val="27E40FB6"/>
    <w:rsid w:val="27E64D5A"/>
    <w:rsid w:val="28110AD2"/>
    <w:rsid w:val="28304927"/>
    <w:rsid w:val="28676094"/>
    <w:rsid w:val="28701566"/>
    <w:rsid w:val="289D7C2B"/>
    <w:rsid w:val="28BC65D9"/>
    <w:rsid w:val="290770C2"/>
    <w:rsid w:val="292D05BD"/>
    <w:rsid w:val="29342097"/>
    <w:rsid w:val="29906BC3"/>
    <w:rsid w:val="29ED3F5E"/>
    <w:rsid w:val="29FC4EF2"/>
    <w:rsid w:val="2A4B1981"/>
    <w:rsid w:val="2A5779F1"/>
    <w:rsid w:val="2A692C9D"/>
    <w:rsid w:val="2A947237"/>
    <w:rsid w:val="2AC73565"/>
    <w:rsid w:val="2AEE256A"/>
    <w:rsid w:val="2AF12A73"/>
    <w:rsid w:val="2B0B4BB9"/>
    <w:rsid w:val="2B422345"/>
    <w:rsid w:val="2B7B5F64"/>
    <w:rsid w:val="2C185B73"/>
    <w:rsid w:val="2C1E39D0"/>
    <w:rsid w:val="2C4A05F5"/>
    <w:rsid w:val="2C861112"/>
    <w:rsid w:val="2CC459E9"/>
    <w:rsid w:val="2D0C6947"/>
    <w:rsid w:val="2D1812D8"/>
    <w:rsid w:val="2D392E5B"/>
    <w:rsid w:val="2D414644"/>
    <w:rsid w:val="2D8178FE"/>
    <w:rsid w:val="2D8A5D4E"/>
    <w:rsid w:val="2DB903F1"/>
    <w:rsid w:val="2DC440B0"/>
    <w:rsid w:val="2DFF25FF"/>
    <w:rsid w:val="2E1E4B8A"/>
    <w:rsid w:val="2E745722"/>
    <w:rsid w:val="2E874FFD"/>
    <w:rsid w:val="2EEE6D81"/>
    <w:rsid w:val="30120C49"/>
    <w:rsid w:val="30284655"/>
    <w:rsid w:val="30BB3E79"/>
    <w:rsid w:val="310C0A45"/>
    <w:rsid w:val="3150741C"/>
    <w:rsid w:val="31723A53"/>
    <w:rsid w:val="3195440B"/>
    <w:rsid w:val="31991FA4"/>
    <w:rsid w:val="31E25AE6"/>
    <w:rsid w:val="31E64DDE"/>
    <w:rsid w:val="323668DE"/>
    <w:rsid w:val="3290627E"/>
    <w:rsid w:val="32A1202B"/>
    <w:rsid w:val="32A96D68"/>
    <w:rsid w:val="32CB6F15"/>
    <w:rsid w:val="33133268"/>
    <w:rsid w:val="33133310"/>
    <w:rsid w:val="333351A3"/>
    <w:rsid w:val="334F3322"/>
    <w:rsid w:val="33E5763D"/>
    <w:rsid w:val="340E28C1"/>
    <w:rsid w:val="34337244"/>
    <w:rsid w:val="343425F9"/>
    <w:rsid w:val="346554E4"/>
    <w:rsid w:val="34F10FFC"/>
    <w:rsid w:val="355A7B62"/>
    <w:rsid w:val="358A6FD3"/>
    <w:rsid w:val="35A848B0"/>
    <w:rsid w:val="35B9082E"/>
    <w:rsid w:val="360105D2"/>
    <w:rsid w:val="363722C1"/>
    <w:rsid w:val="368E39D5"/>
    <w:rsid w:val="36E0445C"/>
    <w:rsid w:val="36FD70AF"/>
    <w:rsid w:val="37150A7E"/>
    <w:rsid w:val="372F3FC5"/>
    <w:rsid w:val="37C606D6"/>
    <w:rsid w:val="381E5579"/>
    <w:rsid w:val="382728C2"/>
    <w:rsid w:val="382B3573"/>
    <w:rsid w:val="38396F83"/>
    <w:rsid w:val="386B7C02"/>
    <w:rsid w:val="388F4070"/>
    <w:rsid w:val="38B717C0"/>
    <w:rsid w:val="39040907"/>
    <w:rsid w:val="393D6FEF"/>
    <w:rsid w:val="39632FCF"/>
    <w:rsid w:val="399D63DA"/>
    <w:rsid w:val="39C1092A"/>
    <w:rsid w:val="39E74D79"/>
    <w:rsid w:val="3A4D332D"/>
    <w:rsid w:val="3A605239"/>
    <w:rsid w:val="3A687C56"/>
    <w:rsid w:val="3AA02DFD"/>
    <w:rsid w:val="3AD37DB6"/>
    <w:rsid w:val="3B765C41"/>
    <w:rsid w:val="3B9065FA"/>
    <w:rsid w:val="3B9A03DC"/>
    <w:rsid w:val="3BAC7FF0"/>
    <w:rsid w:val="3BE251FF"/>
    <w:rsid w:val="3BF9617C"/>
    <w:rsid w:val="3C6F63EF"/>
    <w:rsid w:val="3C9F107E"/>
    <w:rsid w:val="3CC95B77"/>
    <w:rsid w:val="3CCC5936"/>
    <w:rsid w:val="3CDD271B"/>
    <w:rsid w:val="3D816D83"/>
    <w:rsid w:val="3DDB17DC"/>
    <w:rsid w:val="3DF32B1F"/>
    <w:rsid w:val="3E585A05"/>
    <w:rsid w:val="3E5F79C4"/>
    <w:rsid w:val="3E723F66"/>
    <w:rsid w:val="3E797888"/>
    <w:rsid w:val="3E7A2CE2"/>
    <w:rsid w:val="3E9736BC"/>
    <w:rsid w:val="3EDD2592"/>
    <w:rsid w:val="3EEA67A9"/>
    <w:rsid w:val="3F1F2ECA"/>
    <w:rsid w:val="3F3B584C"/>
    <w:rsid w:val="3F6748E6"/>
    <w:rsid w:val="3FDB44FE"/>
    <w:rsid w:val="3FDF52CD"/>
    <w:rsid w:val="40151A0C"/>
    <w:rsid w:val="405C7E57"/>
    <w:rsid w:val="406F0719"/>
    <w:rsid w:val="40707643"/>
    <w:rsid w:val="40AA7B9C"/>
    <w:rsid w:val="40C73D4E"/>
    <w:rsid w:val="40CE2775"/>
    <w:rsid w:val="40D00933"/>
    <w:rsid w:val="41195D48"/>
    <w:rsid w:val="41592F6B"/>
    <w:rsid w:val="417B7EE4"/>
    <w:rsid w:val="41822435"/>
    <w:rsid w:val="418232DA"/>
    <w:rsid w:val="41F32219"/>
    <w:rsid w:val="423E32C5"/>
    <w:rsid w:val="424213B7"/>
    <w:rsid w:val="42D94E4D"/>
    <w:rsid w:val="43327C3F"/>
    <w:rsid w:val="434A5A04"/>
    <w:rsid w:val="43571D2B"/>
    <w:rsid w:val="43855BC6"/>
    <w:rsid w:val="43A0110C"/>
    <w:rsid w:val="43CE4703"/>
    <w:rsid w:val="441146A2"/>
    <w:rsid w:val="448C59EA"/>
    <w:rsid w:val="44D519E5"/>
    <w:rsid w:val="44DC0F0E"/>
    <w:rsid w:val="44E96C73"/>
    <w:rsid w:val="455C6318"/>
    <w:rsid w:val="458D2708"/>
    <w:rsid w:val="45AA48D9"/>
    <w:rsid w:val="45F8492D"/>
    <w:rsid w:val="462321A8"/>
    <w:rsid w:val="464B7434"/>
    <w:rsid w:val="467C2857"/>
    <w:rsid w:val="46947DF8"/>
    <w:rsid w:val="469D3A52"/>
    <w:rsid w:val="46C949E9"/>
    <w:rsid w:val="46D71FE6"/>
    <w:rsid w:val="47610182"/>
    <w:rsid w:val="478F28A2"/>
    <w:rsid w:val="484A786D"/>
    <w:rsid w:val="48753139"/>
    <w:rsid w:val="48A04700"/>
    <w:rsid w:val="48A60C96"/>
    <w:rsid w:val="48EA3C76"/>
    <w:rsid w:val="48ED6A25"/>
    <w:rsid w:val="493B2AD4"/>
    <w:rsid w:val="498C0C42"/>
    <w:rsid w:val="49A637DA"/>
    <w:rsid w:val="49B2579F"/>
    <w:rsid w:val="49BF4AC4"/>
    <w:rsid w:val="49CF62BD"/>
    <w:rsid w:val="49EF5432"/>
    <w:rsid w:val="4A161186"/>
    <w:rsid w:val="4A2F2D65"/>
    <w:rsid w:val="4A43731E"/>
    <w:rsid w:val="4A6A26C9"/>
    <w:rsid w:val="4A7B3956"/>
    <w:rsid w:val="4A9725E6"/>
    <w:rsid w:val="4B200C1F"/>
    <w:rsid w:val="4B4952AB"/>
    <w:rsid w:val="4BA87D12"/>
    <w:rsid w:val="4C007236"/>
    <w:rsid w:val="4C170F06"/>
    <w:rsid w:val="4C457EA8"/>
    <w:rsid w:val="4C4A0CCD"/>
    <w:rsid w:val="4C522772"/>
    <w:rsid w:val="4C634BA9"/>
    <w:rsid w:val="4C6C4C46"/>
    <w:rsid w:val="4C9020FF"/>
    <w:rsid w:val="4C9804FB"/>
    <w:rsid w:val="4CD01B8F"/>
    <w:rsid w:val="4D58331D"/>
    <w:rsid w:val="4D8817AD"/>
    <w:rsid w:val="4DE439F1"/>
    <w:rsid w:val="4E18603A"/>
    <w:rsid w:val="4E367EAE"/>
    <w:rsid w:val="4E542860"/>
    <w:rsid w:val="4E796594"/>
    <w:rsid w:val="4E8A0D1D"/>
    <w:rsid w:val="4EA27AD9"/>
    <w:rsid w:val="4EA35165"/>
    <w:rsid w:val="4EEA77A2"/>
    <w:rsid w:val="4F1764F2"/>
    <w:rsid w:val="4F7C1488"/>
    <w:rsid w:val="4FA65AFA"/>
    <w:rsid w:val="4FBD59EA"/>
    <w:rsid w:val="4FC87D7E"/>
    <w:rsid w:val="4FD133F1"/>
    <w:rsid w:val="4FE73392"/>
    <w:rsid w:val="4FED04B6"/>
    <w:rsid w:val="501552A3"/>
    <w:rsid w:val="50183A27"/>
    <w:rsid w:val="50A666C9"/>
    <w:rsid w:val="50D016A3"/>
    <w:rsid w:val="51163C1D"/>
    <w:rsid w:val="51381858"/>
    <w:rsid w:val="513E7B9D"/>
    <w:rsid w:val="51580F3C"/>
    <w:rsid w:val="516A2B35"/>
    <w:rsid w:val="51731724"/>
    <w:rsid w:val="51B136A7"/>
    <w:rsid w:val="51BF344A"/>
    <w:rsid w:val="52170177"/>
    <w:rsid w:val="52266B70"/>
    <w:rsid w:val="522B31D8"/>
    <w:rsid w:val="524C21B7"/>
    <w:rsid w:val="52533586"/>
    <w:rsid w:val="5277286D"/>
    <w:rsid w:val="52CA4C98"/>
    <w:rsid w:val="532E3DB6"/>
    <w:rsid w:val="533B6D89"/>
    <w:rsid w:val="537B42E2"/>
    <w:rsid w:val="538073C9"/>
    <w:rsid w:val="54006CEC"/>
    <w:rsid w:val="54615A64"/>
    <w:rsid w:val="54A24DF8"/>
    <w:rsid w:val="54C072C3"/>
    <w:rsid w:val="54CB518A"/>
    <w:rsid w:val="55606561"/>
    <w:rsid w:val="55844053"/>
    <w:rsid w:val="55915F1C"/>
    <w:rsid w:val="55B42450"/>
    <w:rsid w:val="565A4F5F"/>
    <w:rsid w:val="567210F2"/>
    <w:rsid w:val="56A15432"/>
    <w:rsid w:val="56CB24CE"/>
    <w:rsid w:val="56D50981"/>
    <w:rsid w:val="56DD7248"/>
    <w:rsid w:val="56F24C1A"/>
    <w:rsid w:val="572962D9"/>
    <w:rsid w:val="576D77DD"/>
    <w:rsid w:val="57812E7F"/>
    <w:rsid w:val="57EC75EA"/>
    <w:rsid w:val="57FE2B4E"/>
    <w:rsid w:val="58393983"/>
    <w:rsid w:val="584226FB"/>
    <w:rsid w:val="58612B50"/>
    <w:rsid w:val="587036F8"/>
    <w:rsid w:val="587765A3"/>
    <w:rsid w:val="58DA31C2"/>
    <w:rsid w:val="596B43C6"/>
    <w:rsid w:val="5977221C"/>
    <w:rsid w:val="5980708B"/>
    <w:rsid w:val="59DA7063"/>
    <w:rsid w:val="59FC60B2"/>
    <w:rsid w:val="5A041BE3"/>
    <w:rsid w:val="5A410D3B"/>
    <w:rsid w:val="5A4918AE"/>
    <w:rsid w:val="5A603D04"/>
    <w:rsid w:val="5AD50985"/>
    <w:rsid w:val="5B665C11"/>
    <w:rsid w:val="5BA42697"/>
    <w:rsid w:val="5BFC7BA9"/>
    <w:rsid w:val="5C381374"/>
    <w:rsid w:val="5C44524E"/>
    <w:rsid w:val="5C603EEF"/>
    <w:rsid w:val="5C794A68"/>
    <w:rsid w:val="5C8313B3"/>
    <w:rsid w:val="5CC507B6"/>
    <w:rsid w:val="5CDF68D8"/>
    <w:rsid w:val="5D695DA5"/>
    <w:rsid w:val="5D735B94"/>
    <w:rsid w:val="5D743596"/>
    <w:rsid w:val="5D7A04E9"/>
    <w:rsid w:val="5E6A530B"/>
    <w:rsid w:val="5ED6257D"/>
    <w:rsid w:val="5F1713CB"/>
    <w:rsid w:val="5F413A41"/>
    <w:rsid w:val="5FA769D1"/>
    <w:rsid w:val="5FB25805"/>
    <w:rsid w:val="5FE75753"/>
    <w:rsid w:val="605E7786"/>
    <w:rsid w:val="60E17681"/>
    <w:rsid w:val="610927A0"/>
    <w:rsid w:val="616C26E6"/>
    <w:rsid w:val="61B07047"/>
    <w:rsid w:val="61DB49D9"/>
    <w:rsid w:val="621C33F2"/>
    <w:rsid w:val="623A470E"/>
    <w:rsid w:val="62F02D2C"/>
    <w:rsid w:val="63C35AA1"/>
    <w:rsid w:val="643A2D71"/>
    <w:rsid w:val="643E1F1D"/>
    <w:rsid w:val="6445164C"/>
    <w:rsid w:val="645B0876"/>
    <w:rsid w:val="645E2948"/>
    <w:rsid w:val="64BF34AB"/>
    <w:rsid w:val="64D11F02"/>
    <w:rsid w:val="64EF6202"/>
    <w:rsid w:val="652649C4"/>
    <w:rsid w:val="655D756E"/>
    <w:rsid w:val="65841218"/>
    <w:rsid w:val="658B0DFC"/>
    <w:rsid w:val="65CC758B"/>
    <w:rsid w:val="66216BFE"/>
    <w:rsid w:val="664261E4"/>
    <w:rsid w:val="66507F49"/>
    <w:rsid w:val="66767896"/>
    <w:rsid w:val="66B67354"/>
    <w:rsid w:val="678F14F6"/>
    <w:rsid w:val="679C345D"/>
    <w:rsid w:val="67AD02FF"/>
    <w:rsid w:val="67CD3E93"/>
    <w:rsid w:val="67D500AC"/>
    <w:rsid w:val="67D61280"/>
    <w:rsid w:val="68541290"/>
    <w:rsid w:val="685A66B3"/>
    <w:rsid w:val="68D425D0"/>
    <w:rsid w:val="68D43129"/>
    <w:rsid w:val="68E005F6"/>
    <w:rsid w:val="68E03172"/>
    <w:rsid w:val="68EC2447"/>
    <w:rsid w:val="68F423C1"/>
    <w:rsid w:val="68F84484"/>
    <w:rsid w:val="68FA05DC"/>
    <w:rsid w:val="690102A5"/>
    <w:rsid w:val="691274C1"/>
    <w:rsid w:val="6912754E"/>
    <w:rsid w:val="6913050F"/>
    <w:rsid w:val="69557366"/>
    <w:rsid w:val="69A0043F"/>
    <w:rsid w:val="6A377945"/>
    <w:rsid w:val="6A576567"/>
    <w:rsid w:val="6A745ABF"/>
    <w:rsid w:val="6A966EE5"/>
    <w:rsid w:val="6A9E0DA7"/>
    <w:rsid w:val="6B0B6421"/>
    <w:rsid w:val="6B1B1DD6"/>
    <w:rsid w:val="6B336EF5"/>
    <w:rsid w:val="6B441F28"/>
    <w:rsid w:val="6B625A72"/>
    <w:rsid w:val="6BD00000"/>
    <w:rsid w:val="6BD4765B"/>
    <w:rsid w:val="6BF018DB"/>
    <w:rsid w:val="6BFD7EA6"/>
    <w:rsid w:val="6C0539EF"/>
    <w:rsid w:val="6C467711"/>
    <w:rsid w:val="6C7A24D7"/>
    <w:rsid w:val="6CA65BFC"/>
    <w:rsid w:val="6CEC2D11"/>
    <w:rsid w:val="6CEC3A86"/>
    <w:rsid w:val="6D15056F"/>
    <w:rsid w:val="6D235A8D"/>
    <w:rsid w:val="6D4506BF"/>
    <w:rsid w:val="6D7922D8"/>
    <w:rsid w:val="6D9143ED"/>
    <w:rsid w:val="6DAF2603"/>
    <w:rsid w:val="6DDD563B"/>
    <w:rsid w:val="6E17004D"/>
    <w:rsid w:val="6E1D1819"/>
    <w:rsid w:val="6E2702F2"/>
    <w:rsid w:val="6E845C78"/>
    <w:rsid w:val="6EB80BE3"/>
    <w:rsid w:val="6ED15532"/>
    <w:rsid w:val="6ED46285"/>
    <w:rsid w:val="6EE34597"/>
    <w:rsid w:val="6F04705D"/>
    <w:rsid w:val="6F115FA0"/>
    <w:rsid w:val="6F132C2A"/>
    <w:rsid w:val="6F436938"/>
    <w:rsid w:val="6F5227DA"/>
    <w:rsid w:val="6F7B4C4A"/>
    <w:rsid w:val="6FD232AB"/>
    <w:rsid w:val="6FE54A4F"/>
    <w:rsid w:val="6FF75449"/>
    <w:rsid w:val="70371C02"/>
    <w:rsid w:val="70653A40"/>
    <w:rsid w:val="70CB6EF5"/>
    <w:rsid w:val="712F67E9"/>
    <w:rsid w:val="713E3DFA"/>
    <w:rsid w:val="717151E3"/>
    <w:rsid w:val="71B877D0"/>
    <w:rsid w:val="71BE3A4E"/>
    <w:rsid w:val="71CD2957"/>
    <w:rsid w:val="71E97DA0"/>
    <w:rsid w:val="72352405"/>
    <w:rsid w:val="72372947"/>
    <w:rsid w:val="725D6E18"/>
    <w:rsid w:val="727C5E16"/>
    <w:rsid w:val="727F5B23"/>
    <w:rsid w:val="728A7867"/>
    <w:rsid w:val="72B952B2"/>
    <w:rsid w:val="72CE09E2"/>
    <w:rsid w:val="72DC6E38"/>
    <w:rsid w:val="72E67EBC"/>
    <w:rsid w:val="73101815"/>
    <w:rsid w:val="73106075"/>
    <w:rsid w:val="73185BE3"/>
    <w:rsid w:val="73243DAE"/>
    <w:rsid w:val="73B47CC9"/>
    <w:rsid w:val="73ED7DB2"/>
    <w:rsid w:val="74305505"/>
    <w:rsid w:val="749361FE"/>
    <w:rsid w:val="74C55301"/>
    <w:rsid w:val="750B2C9B"/>
    <w:rsid w:val="752611F3"/>
    <w:rsid w:val="752C5BC0"/>
    <w:rsid w:val="75F92BF3"/>
    <w:rsid w:val="764D0DBE"/>
    <w:rsid w:val="7658115A"/>
    <w:rsid w:val="769E166F"/>
    <w:rsid w:val="76AE24BD"/>
    <w:rsid w:val="76B0629A"/>
    <w:rsid w:val="76ED6469"/>
    <w:rsid w:val="76F0172E"/>
    <w:rsid w:val="7702704E"/>
    <w:rsid w:val="771D33A0"/>
    <w:rsid w:val="77203D64"/>
    <w:rsid w:val="779C6359"/>
    <w:rsid w:val="77E0008D"/>
    <w:rsid w:val="78372F38"/>
    <w:rsid w:val="78691DAF"/>
    <w:rsid w:val="78FC5E03"/>
    <w:rsid w:val="790F667F"/>
    <w:rsid w:val="799169A1"/>
    <w:rsid w:val="79E068CB"/>
    <w:rsid w:val="7A025785"/>
    <w:rsid w:val="7A3B5A25"/>
    <w:rsid w:val="7A5B7C03"/>
    <w:rsid w:val="7AA10B03"/>
    <w:rsid w:val="7AFB3F4A"/>
    <w:rsid w:val="7B76043A"/>
    <w:rsid w:val="7B9C3CCE"/>
    <w:rsid w:val="7BB44FC8"/>
    <w:rsid w:val="7BDA43D3"/>
    <w:rsid w:val="7BE40725"/>
    <w:rsid w:val="7BE547DC"/>
    <w:rsid w:val="7C0A3AFD"/>
    <w:rsid w:val="7C1B1F4A"/>
    <w:rsid w:val="7C3F21D2"/>
    <w:rsid w:val="7CC7290F"/>
    <w:rsid w:val="7CCD4D16"/>
    <w:rsid w:val="7CFB4CAF"/>
    <w:rsid w:val="7D331A61"/>
    <w:rsid w:val="7DB44406"/>
    <w:rsid w:val="7DBE7B42"/>
    <w:rsid w:val="7DF3407B"/>
    <w:rsid w:val="7DF56635"/>
    <w:rsid w:val="7E133A0C"/>
    <w:rsid w:val="7E325167"/>
    <w:rsid w:val="7E8617E9"/>
    <w:rsid w:val="7E9916A7"/>
    <w:rsid w:val="7EB800BF"/>
    <w:rsid w:val="7F416B3C"/>
    <w:rsid w:val="7F534A21"/>
    <w:rsid w:val="7F817710"/>
    <w:rsid w:val="7FBB3070"/>
    <w:rsid w:val="7FC24B1B"/>
    <w:rsid w:val="7FC6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50" w:beforeLines="50" w:beforeAutospacing="0" w:after="50" w:afterLines="50" w:afterAutospacing="0" w:line="240" w:lineRule="auto"/>
      <w:ind w:left="425" w:hanging="425"/>
      <w:jc w:val="center"/>
      <w:outlineLvl w:val="0"/>
    </w:pPr>
    <w:rPr>
      <w:b/>
      <w:kern w:val="44"/>
      <w:sz w:val="32"/>
    </w:rPr>
  </w:style>
  <w:style w:type="paragraph" w:styleId="4">
    <w:name w:val="heading 2"/>
    <w:basedOn w:val="1"/>
    <w:next w:val="1"/>
    <w:unhideWhenUsed/>
    <w:qFormat/>
    <w:uiPriority w:val="0"/>
    <w:pPr>
      <w:keepNext/>
      <w:keepLines/>
      <w:numPr>
        <w:ilvl w:val="1"/>
        <w:numId w:val="1"/>
      </w:numPr>
      <w:tabs>
        <w:tab w:val="clear" w:pos="420"/>
      </w:tabs>
      <w:spacing w:before="50" w:beforeLines="50" w:after="50" w:afterLines="50" w:line="240" w:lineRule="auto"/>
      <w:ind w:left="0" w:firstLine="0"/>
      <w:outlineLvl w:val="1"/>
    </w:pPr>
    <w:rPr>
      <w:rFonts w:ascii="Cambria" w:hAnsi="Cambria" w:eastAsia="宋体"/>
      <w:b/>
      <w:bCs/>
      <w:sz w:val="28"/>
      <w:szCs w:val="32"/>
    </w:rPr>
  </w:style>
  <w:style w:type="paragraph" w:styleId="5">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12">
    <w:name w:val="Body Text"/>
    <w:basedOn w:val="1"/>
    <w:next w:val="13"/>
    <w:qFormat/>
    <w:uiPriority w:val="0"/>
    <w:pPr>
      <w:spacing w:after="140" w:line="276" w:lineRule="auto"/>
    </w:pPr>
  </w:style>
  <w:style w:type="paragraph" w:styleId="13">
    <w:name w:val="Body Text Indent"/>
    <w:basedOn w:val="1"/>
    <w:qFormat/>
    <w:uiPriority w:val="0"/>
    <w:pPr>
      <w:ind w:firstLine="640" w:firstLineChars="200"/>
    </w:pPr>
    <w:rPr>
      <w:sz w:val="32"/>
    </w:rPr>
  </w:style>
  <w:style w:type="paragraph" w:styleId="14">
    <w:name w:val="Block Text"/>
    <w:basedOn w:val="1"/>
    <w:qFormat/>
    <w:uiPriority w:val="0"/>
    <w:pPr>
      <w:widowControl/>
      <w:spacing w:after="120"/>
      <w:ind w:left="1440" w:leftChars="700" w:right="1440" w:rightChars="700"/>
      <w:jc w:val="left"/>
    </w:pPr>
    <w:rPr>
      <w:rFonts w:ascii="宋体" w:hAnsi="宋体" w:eastAsia="仿宋" w:cs="宋体"/>
      <w:kern w:val="0"/>
      <w:sz w:val="32"/>
      <w:szCs w:val="24"/>
    </w:rPr>
  </w:style>
  <w:style w:type="paragraph" w:styleId="15">
    <w:name w:val="toc 3"/>
    <w:basedOn w:val="1"/>
    <w:next w:val="1"/>
    <w:unhideWhenUsed/>
    <w:qFormat/>
    <w:uiPriority w:val="39"/>
    <w:pPr>
      <w:ind w:left="840" w:leftChars="400"/>
    </w:pPr>
  </w:style>
  <w:style w:type="paragraph" w:styleId="16">
    <w:name w:val="Plain Text"/>
    <w:basedOn w:val="1"/>
    <w:next w:val="1"/>
    <w:qFormat/>
    <w:uiPriority w:val="99"/>
    <w:rPr>
      <w:rFonts w:ascii="宋体" w:hAnsi="Courier New" w:cs="Courier New"/>
      <w:szCs w:val="21"/>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unhideWhenUsed/>
    <w:qFormat/>
    <w:uiPriority w:val="39"/>
  </w:style>
  <w:style w:type="paragraph" w:styleId="19">
    <w:name w:val="toc 4"/>
    <w:basedOn w:val="1"/>
    <w:next w:val="1"/>
    <w:unhideWhenUsed/>
    <w:qFormat/>
    <w:uiPriority w:val="39"/>
    <w:pPr>
      <w:ind w:left="1260" w:leftChars="600"/>
    </w:pPr>
  </w:style>
  <w:style w:type="paragraph" w:styleId="20">
    <w:name w:val="toc 2"/>
    <w:basedOn w:val="1"/>
    <w:next w:val="1"/>
    <w:unhideWhenUsed/>
    <w:qFormat/>
    <w:uiPriority w:val="39"/>
    <w:pPr>
      <w:tabs>
        <w:tab w:val="right" w:leader="dot" w:pos="8982"/>
      </w:tabs>
      <w:ind w:left="420" w:leftChars="200"/>
      <w:jc w:val="center"/>
    </w:pPr>
    <w:rPr>
      <w:sz w:val="22"/>
      <w:szCs w:val="24"/>
    </w:rPr>
  </w:style>
  <w:style w:type="paragraph" w:styleId="21">
    <w:name w:val="Normal (Web)"/>
    <w:basedOn w:val="1"/>
    <w:qFormat/>
    <w:uiPriority w:val="0"/>
    <w:pPr>
      <w:spacing w:beforeAutospacing="1" w:afterAutospacing="1"/>
      <w:jc w:val="left"/>
    </w:pPr>
    <w:rPr>
      <w:kern w:val="0"/>
      <w:sz w:val="24"/>
    </w:rPr>
  </w:style>
  <w:style w:type="paragraph" w:styleId="22">
    <w:name w:val="index 1"/>
    <w:basedOn w:val="1"/>
    <w:next w:val="1"/>
    <w:qFormat/>
    <w:uiPriority w:val="99"/>
  </w:style>
  <w:style w:type="paragraph" w:styleId="23">
    <w:name w:val="Body Text First Indent"/>
    <w:basedOn w:val="12"/>
    <w:unhideWhenUsed/>
    <w:qFormat/>
    <w:uiPriority w:val="99"/>
    <w:pPr>
      <w:widowControl w:val="0"/>
      <w:ind w:firstLine="420" w:firstLineChars="100"/>
      <w:jc w:val="center"/>
    </w:pPr>
    <w:rPr>
      <w:rFonts w:ascii="Times New Roman" w:hAnsi="Times New Roman" w:eastAsia="宋体" w:cs="Times New Roman"/>
      <w:b/>
      <w:kern w:val="2"/>
      <w:sz w:val="32"/>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NormalIndent"/>
    <w:basedOn w:val="1"/>
    <w:qFormat/>
    <w:uiPriority w:val="0"/>
    <w:pPr>
      <w:ind w:firstLine="420" w:firstLineChars="200"/>
    </w:pPr>
  </w:style>
  <w:style w:type="paragraph" w:customStyle="1" w:styleId="31">
    <w:name w:val="_Style 3"/>
    <w:basedOn w:val="1"/>
    <w:qFormat/>
    <w:uiPriority w:val="34"/>
    <w:pPr>
      <w:ind w:firstLine="420" w:firstLineChars="200"/>
    </w:pPr>
  </w:style>
  <w:style w:type="paragraph" w:customStyle="1" w:styleId="32">
    <w:name w:val="列表段落1"/>
    <w:basedOn w:val="1"/>
    <w:qFormat/>
    <w:uiPriority w:val="34"/>
    <w:pPr>
      <w:ind w:firstLine="420" w:firstLineChars="200"/>
    </w:pPr>
  </w:style>
  <w:style w:type="paragraph" w:customStyle="1" w:styleId="33">
    <w:name w:val=" Char"/>
    <w:basedOn w:val="1"/>
    <w:qFormat/>
    <w:uiPriority w:val="0"/>
    <w:rPr>
      <w:rFonts w:ascii="宋体" w:hAnsi="宋体" w:cs="Courier New"/>
      <w:sz w:val="32"/>
      <w:szCs w:val="32"/>
    </w:rPr>
  </w:style>
  <w:style w:type="character" w:customStyle="1" w:styleId="34">
    <w:name w:val="font21"/>
    <w:qFormat/>
    <w:uiPriority w:val="0"/>
    <w:rPr>
      <w:rFonts w:hint="eastAsia" w:ascii="宋体" w:hAnsi="宋体" w:eastAsia="宋体" w:cs="宋体"/>
      <w:color w:val="000000"/>
      <w:sz w:val="20"/>
      <w:szCs w:val="20"/>
      <w:u w:val="none"/>
    </w:rPr>
  </w:style>
  <w:style w:type="paragraph" w:customStyle="1" w:styleId="35">
    <w:name w:val="列出段落1"/>
    <w:basedOn w:val="1"/>
    <w:qFormat/>
    <w:uiPriority w:val="34"/>
    <w:pPr>
      <w:ind w:firstLine="420" w:firstLineChars="200"/>
    </w:pPr>
  </w:style>
  <w:style w:type="paragraph" w:customStyle="1" w:styleId="36">
    <w:name w:val="Other|1"/>
    <w:basedOn w:val="1"/>
    <w:qFormat/>
    <w:uiPriority w:val="0"/>
    <w:pPr>
      <w:ind w:firstLine="500"/>
    </w:pPr>
    <w:rPr>
      <w:rFonts w:ascii="宋体" w:hAnsi="宋体" w:eastAsia="宋体" w:cs="宋体"/>
      <w:color w:val="6B6966"/>
      <w:sz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6589</Words>
  <Characters>6775</Characters>
  <Lines>0</Lines>
  <Paragraphs>0</Paragraphs>
  <TotalTime>1</TotalTime>
  <ScaleCrop>false</ScaleCrop>
  <LinksUpToDate>false</LinksUpToDate>
  <CharactersWithSpaces>7059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2021-08-16T02:26:00Z</dcterms:created>
  <dc:creator>csswork2017</dc:creator>
  <cp:lastModifiedBy>csswork2020</cp:lastModifiedBy>
  <dcterms:modified xsi:type="dcterms:W3CDTF">2022-10-11T02:03:34Z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BB3FE391DE184FB2AE7B7C1D37276D39</vt:lpwstr>
  </property>
</Properties>
</file>