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78" w:rsidRDefault="00BC6D78" w:rsidP="00BC6D78">
      <w:pPr>
        <w:adjustRightInd w:val="0"/>
        <w:snapToGrid w:val="0"/>
        <w:spacing w:line="360" w:lineRule="auto"/>
        <w:rPr>
          <w:rFonts w:ascii="Times New Roman" w:eastAsia="宋体" w:hAnsi="Times New Roman" w:cs="Times New Roman" w:hint="eastAsia"/>
          <w:szCs w:val="24"/>
        </w:rPr>
      </w:pPr>
    </w:p>
    <w:p w:rsidR="00BC6D78" w:rsidRDefault="00BC6D78" w:rsidP="00BC6D78">
      <w:pPr>
        <w:adjustRightInd w:val="0"/>
        <w:snapToGrid w:val="0"/>
        <w:spacing w:line="360" w:lineRule="auto"/>
        <w:ind w:firstLineChars="200" w:firstLine="960"/>
        <w:jc w:val="center"/>
        <w:rPr>
          <w:rFonts w:eastAsia="方正小标宋简体"/>
          <w:sz w:val="48"/>
          <w:szCs w:val="48"/>
        </w:rPr>
      </w:pPr>
    </w:p>
    <w:p w:rsidR="00BC6D78" w:rsidRDefault="00BC6D78" w:rsidP="00BC6D78">
      <w:pPr>
        <w:adjustRightInd w:val="0"/>
        <w:snapToGrid w:val="0"/>
        <w:spacing w:line="360" w:lineRule="auto"/>
        <w:ind w:firstLineChars="200" w:firstLine="960"/>
        <w:jc w:val="center"/>
        <w:rPr>
          <w:rFonts w:eastAsia="方正小标宋简体"/>
          <w:sz w:val="48"/>
          <w:szCs w:val="48"/>
        </w:rPr>
      </w:pPr>
    </w:p>
    <w:p w:rsidR="00BC6D78" w:rsidRDefault="00BC6D78" w:rsidP="00BC6D78">
      <w:pPr>
        <w:adjustRightInd w:val="0"/>
        <w:snapToGrid w:val="0"/>
        <w:jc w:val="center"/>
        <w:rPr>
          <w:rFonts w:eastAsia="方正小标宋简体"/>
          <w:sz w:val="48"/>
          <w:szCs w:val="48"/>
        </w:rPr>
      </w:pPr>
      <w:r>
        <w:rPr>
          <w:rFonts w:eastAsia="方正小标宋简体" w:hint="eastAsia"/>
          <w:sz w:val="48"/>
          <w:szCs w:val="48"/>
        </w:rPr>
        <w:t>基于人用经验的中药复方制剂新药药学研究技术指导原则</w:t>
      </w:r>
    </w:p>
    <w:p w:rsidR="00BC6D78" w:rsidRDefault="00BC6D78" w:rsidP="00BC6D78">
      <w:pPr>
        <w:adjustRightInd w:val="0"/>
        <w:snapToGrid w:val="0"/>
        <w:jc w:val="center"/>
        <w:rPr>
          <w:rFonts w:eastAsia="方正小标宋简体"/>
          <w:sz w:val="36"/>
          <w:szCs w:val="32"/>
        </w:rPr>
      </w:pPr>
      <w:r>
        <w:rPr>
          <w:rFonts w:eastAsia="方正小标宋简体" w:hint="eastAsia"/>
          <w:sz w:val="48"/>
          <w:szCs w:val="48"/>
        </w:rPr>
        <w:t>（征求意见稿）</w:t>
      </w: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720"/>
        <w:rPr>
          <w:rFonts w:eastAsia="方正小标宋简体"/>
          <w:sz w:val="36"/>
          <w:szCs w:val="32"/>
        </w:rPr>
      </w:pPr>
    </w:p>
    <w:p w:rsidR="00BC6D78" w:rsidRDefault="00BC6D78" w:rsidP="00BC6D78">
      <w:pPr>
        <w:adjustRightInd w:val="0"/>
        <w:snapToGrid w:val="0"/>
        <w:spacing w:line="360" w:lineRule="auto"/>
        <w:ind w:firstLineChars="200" w:firstLine="640"/>
        <w:jc w:val="center"/>
        <w:rPr>
          <w:rFonts w:eastAsia="黑体"/>
          <w:bCs/>
          <w:sz w:val="32"/>
          <w:szCs w:val="32"/>
        </w:rPr>
      </w:pPr>
      <w:r>
        <w:rPr>
          <w:rFonts w:ascii="Times New Roman" w:eastAsia="黑体" w:hAnsi="Times New Roman" w:cs="Times New Roman"/>
          <w:bCs/>
          <w:sz w:val="32"/>
          <w:szCs w:val="32"/>
        </w:rPr>
        <w:t>2022</w:t>
      </w:r>
      <w:r>
        <w:rPr>
          <w:rFonts w:eastAsia="黑体" w:hint="eastAsia"/>
          <w:bCs/>
          <w:sz w:val="32"/>
          <w:szCs w:val="32"/>
        </w:rPr>
        <w:t>年</w:t>
      </w:r>
      <w:r>
        <w:rPr>
          <w:rFonts w:ascii="Times New Roman" w:eastAsia="黑体" w:hAnsi="Times New Roman" w:cs="Times New Roman"/>
          <w:bCs/>
          <w:sz w:val="32"/>
          <w:szCs w:val="32"/>
        </w:rPr>
        <w:t>09</w:t>
      </w:r>
      <w:r>
        <w:rPr>
          <w:rFonts w:eastAsia="黑体" w:hint="eastAsia"/>
          <w:bCs/>
          <w:sz w:val="32"/>
          <w:szCs w:val="32"/>
        </w:rPr>
        <w:t>月</w:t>
      </w:r>
    </w:p>
    <w:p w:rsidR="00BC6D78" w:rsidRDefault="00BC6D78" w:rsidP="00BC6D78">
      <w:pPr>
        <w:adjustRightInd w:val="0"/>
        <w:snapToGrid w:val="0"/>
        <w:spacing w:line="360" w:lineRule="auto"/>
        <w:ind w:firstLineChars="200" w:firstLine="720"/>
        <w:rPr>
          <w:rFonts w:ascii="方正小标宋简体" w:eastAsia="方正小标宋简体" w:hAnsi="方正小标宋简体" w:cs="方正小标宋简体"/>
          <w:sz w:val="36"/>
          <w:szCs w:val="36"/>
        </w:rPr>
      </w:pPr>
    </w:p>
    <w:p w:rsidR="00BC6D78" w:rsidRDefault="00BC6D78" w:rsidP="00BC6D78">
      <w:pPr>
        <w:adjustRightInd w:val="0"/>
        <w:snapToGrid w:val="0"/>
        <w:spacing w:line="360" w:lineRule="auto"/>
        <w:ind w:firstLineChars="200" w:firstLine="720"/>
        <w:rPr>
          <w:rFonts w:ascii="Times New Roman" w:eastAsia="方正小标宋简体" w:hAnsi="Times New Roman"/>
          <w:b/>
          <w:sz w:val="36"/>
          <w:szCs w:val="36"/>
          <w:lang w:val="zh-CN"/>
        </w:rPr>
      </w:pPr>
      <w:r>
        <w:rPr>
          <w:rFonts w:ascii="方正小标宋简体" w:eastAsia="方正小标宋简体" w:hAnsi="方正小标宋简体" w:cs="方正小标宋简体" w:hint="eastAsia"/>
          <w:kern w:val="0"/>
          <w:sz w:val="36"/>
          <w:szCs w:val="36"/>
        </w:rPr>
        <w:br w:type="page"/>
      </w:r>
    </w:p>
    <w:p w:rsidR="00BC6D78" w:rsidRDefault="00BC6D78" w:rsidP="00BC6D78">
      <w:pPr>
        <w:pStyle w:val="TOC1"/>
        <w:adjustRightInd w:val="0"/>
        <w:snapToGrid w:val="0"/>
        <w:spacing w:before="0" w:line="360" w:lineRule="auto"/>
        <w:ind w:firstLineChars="200" w:firstLine="723"/>
        <w:jc w:val="center"/>
        <w:rPr>
          <w:rFonts w:ascii="Times New Roman" w:eastAsia="方正小标宋简体" w:hAnsi="Times New Roman"/>
          <w:color w:val="auto"/>
          <w:sz w:val="36"/>
          <w:szCs w:val="36"/>
          <w:lang w:val="zh-CN"/>
        </w:rPr>
      </w:pPr>
    </w:p>
    <w:p w:rsidR="00BC6D78" w:rsidRDefault="00BC6D78" w:rsidP="00BC6D78">
      <w:pPr>
        <w:pStyle w:val="TOC1"/>
        <w:adjustRightInd w:val="0"/>
        <w:snapToGrid w:val="0"/>
        <w:spacing w:before="0" w:line="360" w:lineRule="auto"/>
        <w:ind w:firstLineChars="200" w:firstLine="723"/>
        <w:jc w:val="center"/>
        <w:rPr>
          <w:rFonts w:ascii="Times New Roman" w:eastAsia="方正小标宋简体" w:hAnsi="Times New Roman"/>
          <w:color w:val="auto"/>
          <w:sz w:val="36"/>
          <w:szCs w:val="36"/>
          <w:lang w:val="zh-CN"/>
        </w:rPr>
      </w:pPr>
      <w:r>
        <w:rPr>
          <w:rFonts w:ascii="Times New Roman" w:eastAsia="方正小标宋简体" w:hAnsi="Times New Roman" w:hint="eastAsia"/>
          <w:color w:val="auto"/>
          <w:sz w:val="36"/>
          <w:szCs w:val="36"/>
          <w:lang w:val="zh-CN"/>
        </w:rPr>
        <w:t>目</w:t>
      </w:r>
      <w:r>
        <w:rPr>
          <w:rFonts w:ascii="Times New Roman" w:eastAsia="方正小标宋简体" w:hAnsi="Times New Roman"/>
          <w:color w:val="auto"/>
          <w:sz w:val="36"/>
          <w:szCs w:val="36"/>
          <w:lang w:val="zh-CN"/>
        </w:rPr>
        <w:t xml:space="preserve">   </w:t>
      </w:r>
      <w:r>
        <w:rPr>
          <w:rFonts w:ascii="Times New Roman" w:eastAsia="方正小标宋简体" w:hAnsi="Times New Roman" w:hint="eastAsia"/>
          <w:color w:val="auto"/>
          <w:sz w:val="36"/>
          <w:szCs w:val="36"/>
          <w:lang w:val="zh-CN"/>
        </w:rPr>
        <w:t>录</w:t>
      </w:r>
    </w:p>
    <w:p w:rsidR="00BC6D78" w:rsidRDefault="00BC6D78" w:rsidP="00BC6D78">
      <w:pPr>
        <w:adjustRightInd w:val="0"/>
        <w:snapToGrid w:val="0"/>
        <w:spacing w:line="360" w:lineRule="auto"/>
        <w:ind w:firstLineChars="200" w:firstLine="420"/>
        <w:rPr>
          <w:rFonts w:eastAsia="宋体"/>
          <w:lang w:val="zh-CN"/>
        </w:rPr>
      </w:pPr>
    </w:p>
    <w:p w:rsidR="00BC6D78" w:rsidRDefault="00BC6D78" w:rsidP="00BC6D78">
      <w:pPr>
        <w:adjustRightInd w:val="0"/>
        <w:snapToGrid w:val="0"/>
        <w:spacing w:line="360" w:lineRule="auto"/>
        <w:ind w:firstLineChars="177" w:firstLine="566"/>
        <w:jc w:val="distribut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一、概述</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ab/>
        <w:t>1</w:t>
      </w:r>
    </w:p>
    <w:p w:rsidR="00BC6D78" w:rsidRDefault="00BC6D78" w:rsidP="00BC6D78">
      <w:pPr>
        <w:adjustRightInd w:val="0"/>
        <w:snapToGrid w:val="0"/>
        <w:spacing w:line="360" w:lineRule="auto"/>
        <w:ind w:firstLineChars="200" w:firstLine="640"/>
        <w:jc w:val="distribut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二、基本要求</w:t>
      </w:r>
      <w:r>
        <w:rPr>
          <w:rFonts w:ascii="Times New Roman" w:eastAsia="仿宋_GB2312" w:hAnsi="Times New Roman" w:cs="Times New Roman"/>
          <w:sz w:val="32"/>
          <w:szCs w:val="32"/>
        </w:rPr>
        <w:t>. ………</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……………………………1</w:t>
      </w:r>
    </w:p>
    <w:p w:rsidR="00BC6D78" w:rsidRDefault="00BC6D78" w:rsidP="00BC6D78">
      <w:pPr>
        <w:adjustRightInd w:val="0"/>
        <w:snapToGrid w:val="0"/>
        <w:spacing w:line="360" w:lineRule="auto"/>
        <w:ind w:firstLineChars="200" w:firstLine="640"/>
        <w:jc w:val="distribut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（一）应明确人用经验所用药物的药学关键信息</w:t>
      </w:r>
      <w:r>
        <w:rPr>
          <w:rFonts w:ascii="Times New Roman" w:eastAsia="仿宋_GB2312" w:hAnsi="Times New Roman" w:cs="Times New Roman"/>
          <w:sz w:val="32"/>
          <w:szCs w:val="32"/>
        </w:rPr>
        <w:t>…..….1</w:t>
      </w:r>
    </w:p>
    <w:p w:rsidR="00BC6D78" w:rsidRDefault="00BC6D78" w:rsidP="00BC6D78">
      <w:pPr>
        <w:adjustRightInd w:val="0"/>
        <w:snapToGrid w:val="0"/>
        <w:spacing w:line="360" w:lineRule="auto"/>
        <w:ind w:firstLineChars="200" w:firstLine="640"/>
        <w:jc w:val="distribut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（二）中药复方制剂新药的质量应与人用经验所用药物的质量基本一致</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.2</w:t>
      </w:r>
    </w:p>
    <w:p w:rsidR="00BC6D78" w:rsidRDefault="00BC6D78" w:rsidP="00BC6D78">
      <w:pPr>
        <w:adjustRightInd w:val="0"/>
        <w:snapToGrid w:val="0"/>
        <w:spacing w:line="360" w:lineRule="auto"/>
        <w:ind w:firstLineChars="200" w:firstLine="640"/>
        <w:jc w:val="distribut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（三）人用经验药学关键信息应可溯源</w:t>
      </w:r>
      <w:r>
        <w:rPr>
          <w:rFonts w:ascii="Times New Roman" w:eastAsia="仿宋_GB2312" w:hAnsi="Times New Roman" w:cs="Times New Roman"/>
          <w:sz w:val="32"/>
          <w:szCs w:val="32"/>
        </w:rPr>
        <w:t>…….………….2</w:t>
      </w:r>
    </w:p>
    <w:p w:rsidR="00BC6D78" w:rsidRDefault="00BC6D78" w:rsidP="00BC6D78">
      <w:pPr>
        <w:adjustRightInd w:val="0"/>
        <w:snapToGrid w:val="0"/>
        <w:spacing w:line="360" w:lineRule="auto"/>
        <w:ind w:firstLineChars="200" w:firstLine="640"/>
        <w:jc w:val="distribut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三、主要内容</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..2</w:t>
      </w:r>
    </w:p>
    <w:p w:rsidR="00BC6D78" w:rsidRDefault="00BC6D78" w:rsidP="00BC6D78">
      <w:pPr>
        <w:adjustRightInd w:val="0"/>
        <w:snapToGrid w:val="0"/>
        <w:spacing w:line="360" w:lineRule="auto"/>
        <w:ind w:firstLineChars="200" w:firstLine="640"/>
        <w:jc w:val="distribute"/>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（一）处方</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w:t>
      </w:r>
      <w:proofErr w:type="gramEnd"/>
      <w:r>
        <w:rPr>
          <w:rFonts w:ascii="Times New Roman" w:eastAsia="仿宋_GB2312" w:hAnsi="Times New Roman" w:cs="Times New Roman"/>
          <w:sz w:val="32"/>
          <w:szCs w:val="32"/>
        </w:rPr>
        <w:t>..2</w:t>
      </w:r>
    </w:p>
    <w:p w:rsidR="00BC6D78" w:rsidRDefault="00BC6D78" w:rsidP="00BC6D78">
      <w:pPr>
        <w:pStyle w:val="a8"/>
        <w:spacing w:after="0"/>
        <w:ind w:firstLine="640"/>
        <w:jc w:val="distribute"/>
        <w:rPr>
          <w:rFonts w:ascii="Times New Roman" w:hAnsi="Times New Roman" w:cs="Times New Roman"/>
        </w:rPr>
      </w:pPr>
      <w:r>
        <w:rPr>
          <w:rFonts w:ascii="Times New Roman" w:hAnsi="Times New Roman" w:cs="Times New Roman" w:hint="eastAsia"/>
        </w:rPr>
        <w:t>（二）制备工艺</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..3</w:t>
      </w:r>
    </w:p>
    <w:p w:rsidR="00BC6D78" w:rsidRDefault="00BC6D78" w:rsidP="00BC6D78">
      <w:pPr>
        <w:pStyle w:val="a8"/>
        <w:spacing w:after="0"/>
        <w:ind w:firstLine="640"/>
        <w:jc w:val="distribute"/>
        <w:rPr>
          <w:rFonts w:ascii="Times New Roman" w:hAnsi="Times New Roman" w:cs="Times New Roman"/>
        </w:rPr>
      </w:pPr>
      <w:r>
        <w:rPr>
          <w:rFonts w:ascii="Times New Roman" w:hAnsi="Times New Roman" w:cs="Times New Roman" w:hint="eastAsia"/>
        </w:rPr>
        <w:t>（三）剂型</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..3</w:t>
      </w:r>
    </w:p>
    <w:p w:rsidR="00BC6D78" w:rsidRDefault="00BC6D78" w:rsidP="00BC6D78">
      <w:pPr>
        <w:pStyle w:val="a8"/>
        <w:spacing w:after="0"/>
        <w:ind w:firstLine="640"/>
        <w:jc w:val="distribute"/>
        <w:rPr>
          <w:rFonts w:ascii="Times New Roman" w:hAnsi="Times New Roman" w:cs="Times New Roman"/>
        </w:rPr>
      </w:pPr>
      <w:r>
        <w:rPr>
          <w:rFonts w:ascii="Times New Roman" w:hAnsi="Times New Roman" w:cs="Times New Roman" w:hint="eastAsia"/>
        </w:rPr>
        <w:t>（四）质量研究及质量标准</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00AA0DBC">
        <w:rPr>
          <w:rFonts w:ascii="Times New Roman" w:hAnsi="Times New Roman" w:cs="Times New Roman"/>
        </w:rPr>
        <w:t>3</w:t>
      </w:r>
    </w:p>
    <w:p w:rsidR="00BC6D78" w:rsidRDefault="00BC6D78" w:rsidP="00BC6D78">
      <w:pPr>
        <w:pStyle w:val="a8"/>
        <w:spacing w:after="0"/>
        <w:ind w:firstLine="640"/>
        <w:jc w:val="distribute"/>
        <w:rPr>
          <w:rFonts w:ascii="Times New Roman" w:hAnsi="Times New Roman" w:cs="Times New Roman"/>
        </w:rPr>
      </w:pPr>
      <w:r>
        <w:rPr>
          <w:rFonts w:ascii="Times New Roman" w:hAnsi="Times New Roman" w:cs="Times New Roman" w:hint="eastAsia"/>
        </w:rPr>
        <w:t>（五）稳定性</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4</w:t>
      </w:r>
    </w:p>
    <w:p w:rsidR="00BC6D78" w:rsidRDefault="00BC6D78" w:rsidP="00BC6D78">
      <w:pPr>
        <w:pStyle w:val="a8"/>
        <w:spacing w:after="0"/>
        <w:ind w:firstLine="640"/>
        <w:jc w:val="distribute"/>
        <w:rPr>
          <w:rFonts w:ascii="Times New Roman" w:hAnsi="Times New Roman" w:cs="Times New Roman"/>
        </w:rPr>
      </w:pPr>
      <w:r>
        <w:rPr>
          <w:rFonts w:ascii="Times New Roman" w:hAnsi="Times New Roman" w:cs="Times New Roman" w:hint="eastAsia"/>
        </w:rPr>
        <w:t>（六）桥接研究</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4</w:t>
      </w:r>
    </w:p>
    <w:p w:rsidR="00BC6D78" w:rsidRDefault="00BC6D78" w:rsidP="00BC6D78">
      <w:pPr>
        <w:pStyle w:val="a8"/>
        <w:spacing w:after="0"/>
        <w:ind w:firstLine="640"/>
        <w:jc w:val="both"/>
        <w:rPr>
          <w:rFonts w:ascii="Times New Roman" w:hAnsi="Times New Roman" w:cs="Times New Roman"/>
        </w:rPr>
        <w:sectPr w:rsidR="00BC6D78">
          <w:footerReference w:type="default" r:id="rId6"/>
          <w:footerReference w:type="first" r:id="rId7"/>
          <w:pgSz w:w="11906" w:h="16838"/>
          <w:pgMar w:top="1440" w:right="1800" w:bottom="1440" w:left="1800" w:header="851" w:footer="992" w:gutter="0"/>
          <w:pgNumType w:start="1"/>
          <w:cols w:space="720"/>
          <w:docGrid w:type="lines" w:linePitch="312"/>
        </w:sectPr>
      </w:pPr>
    </w:p>
    <w:p w:rsidR="00BC6D78" w:rsidRDefault="00BC6D78" w:rsidP="00BC6D78">
      <w:pPr>
        <w:pStyle w:val="a8"/>
        <w:spacing w:after="0"/>
        <w:ind w:firstLine="640"/>
        <w:jc w:val="both"/>
        <w:rPr>
          <w:rFonts w:ascii="Times New Roman" w:hAnsi="Times New Roman" w:cs="Times New Roman"/>
        </w:rPr>
      </w:pPr>
    </w:p>
    <w:p w:rsidR="00BC6D78" w:rsidRDefault="00BC6D78" w:rsidP="00BC6D78">
      <w:pPr>
        <w:widowControl/>
        <w:spacing w:line="360" w:lineRule="auto"/>
        <w:jc w:val="left"/>
        <w:rPr>
          <w:rFonts w:ascii="Times New Roman" w:hAnsi="Times New Roman" w:cs="Times New Roman"/>
          <w:kern w:val="0"/>
        </w:rPr>
        <w:sectPr w:rsidR="00BC6D78" w:rsidSect="00BC6D78">
          <w:type w:val="continuous"/>
          <w:pgSz w:w="11906" w:h="16838"/>
          <w:pgMar w:top="1440" w:right="1800" w:bottom="1440" w:left="1800" w:header="851" w:footer="992" w:gutter="0"/>
          <w:pgNumType w:start="1"/>
          <w:cols w:space="720"/>
          <w:docGrid w:type="lines" w:linePitch="312"/>
        </w:sectPr>
      </w:pPr>
      <w:r>
        <w:rPr>
          <w:rFonts w:ascii="Times New Roman" w:hAnsi="Times New Roman" w:cs="Times New Roman"/>
          <w:kern w:val="0"/>
        </w:rPr>
        <w:br w:type="page"/>
      </w:r>
    </w:p>
    <w:p w:rsidR="00BC6D78" w:rsidRDefault="00BC6D78" w:rsidP="00BC6D78">
      <w:pPr>
        <w:pStyle w:val="a8"/>
        <w:spacing w:after="0" w:line="240" w:lineRule="auto"/>
        <w:ind w:firstLineChars="55" w:firstLine="198"/>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基于人用经验的中药复方制剂新药药学研究技术</w:t>
      </w:r>
    </w:p>
    <w:p w:rsidR="00BC6D78" w:rsidRDefault="00BC6D78" w:rsidP="00BC6D78">
      <w:pPr>
        <w:pStyle w:val="a8"/>
        <w:spacing w:after="0" w:line="240" w:lineRule="auto"/>
        <w:ind w:firstLineChars="55" w:firstLine="198"/>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指导原则（征求意见稿）</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p>
    <w:p w:rsidR="00BC6D78" w:rsidRDefault="00BC6D78" w:rsidP="00BC6D78">
      <w:pPr>
        <w:pStyle w:val="1"/>
        <w:adjustRightInd w:val="0"/>
        <w:snapToGrid w:val="0"/>
        <w:spacing w:before="0" w:after="0" w:line="360" w:lineRule="auto"/>
        <w:ind w:firstLineChars="200" w:firstLine="640"/>
        <w:rPr>
          <w:rFonts w:ascii="黑体" w:eastAsia="黑体" w:hAnsi="黑体"/>
          <w:b w:val="0"/>
          <w:bCs w:val="0"/>
          <w:kern w:val="0"/>
          <w:sz w:val="32"/>
          <w:szCs w:val="22"/>
        </w:rPr>
      </w:pPr>
      <w:r>
        <w:rPr>
          <w:rFonts w:ascii="黑体" w:eastAsia="黑体" w:hAnsi="黑体" w:hint="eastAsia"/>
          <w:b w:val="0"/>
          <w:bCs w:val="0"/>
          <w:kern w:val="0"/>
          <w:sz w:val="32"/>
          <w:szCs w:val="22"/>
        </w:rPr>
        <w:t>一、概述</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用经验是中医药理论、人用经验和临床试验相结合的中药注册审评证据体系（以下简称“三结合”中药注册审评证据体系）的重要组成部分，是在临床实践过程中积累形成的，可用于支持中药复方制剂新药的研发决策或注册申请。支持注册申请的人用经验应是高质量的中医临床实践的科学总结</w:t>
      </w:r>
      <w:r>
        <w:rPr>
          <w:rFonts w:ascii="仿宋_GB2312" w:eastAsia="仿宋_GB2312" w:hint="eastAsia"/>
          <w:sz w:val="32"/>
          <w:szCs w:val="32"/>
        </w:rPr>
        <w:t>。</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为构建“三结合”中药注册审评证据体系，指导申请人利用人用经验进行中药复方制剂新药研发，基于中药特点和研发规律，明确作为注册审评证据的人用经验所用药物的药学研究基本要求，制定本指导原则。</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除中药复方制剂新药外，以人用经验作为注册审评证据的</w:t>
      </w:r>
      <w:bookmarkStart w:id="0" w:name="_GoBack"/>
      <w:bookmarkEnd w:id="0"/>
      <w:r>
        <w:rPr>
          <w:rFonts w:ascii="仿宋_GB2312" w:eastAsia="仿宋_GB2312" w:hint="eastAsia"/>
          <w:sz w:val="32"/>
        </w:rPr>
        <w:t>其</w:t>
      </w:r>
      <w:r>
        <w:rPr>
          <w:rFonts w:ascii="Times New Roman" w:eastAsia="仿宋_GB2312" w:hAnsi="Times New Roman" w:cs="Times New Roman" w:hint="eastAsia"/>
          <w:sz w:val="32"/>
          <w:szCs w:val="32"/>
        </w:rPr>
        <w:t>他中药注册申请可参照本指导原则执行。</w:t>
      </w:r>
      <w:r>
        <w:rPr>
          <w:rFonts w:ascii="仿宋_GB2312" w:eastAsia="仿宋_GB2312" w:hint="eastAsia"/>
          <w:sz w:val="32"/>
        </w:rPr>
        <w:t>具体研究工作参照相关技术指导原则开展。</w:t>
      </w:r>
    </w:p>
    <w:p w:rsidR="00BC6D78" w:rsidRDefault="00BC6D78" w:rsidP="00BC6D78">
      <w:pPr>
        <w:pStyle w:val="1"/>
        <w:adjustRightInd w:val="0"/>
        <w:snapToGrid w:val="0"/>
        <w:spacing w:before="0" w:after="0" w:line="360" w:lineRule="auto"/>
        <w:ind w:firstLineChars="200" w:firstLine="640"/>
        <w:rPr>
          <w:rFonts w:ascii="黑体" w:eastAsia="黑体" w:hAnsi="黑体"/>
          <w:b w:val="0"/>
          <w:bCs w:val="0"/>
          <w:kern w:val="0"/>
          <w:sz w:val="32"/>
          <w:szCs w:val="22"/>
        </w:rPr>
      </w:pPr>
      <w:r>
        <w:rPr>
          <w:rFonts w:ascii="黑体" w:eastAsia="黑体" w:hAnsi="黑体" w:hint="eastAsia"/>
          <w:b w:val="0"/>
          <w:bCs w:val="0"/>
          <w:kern w:val="0"/>
          <w:sz w:val="32"/>
          <w:szCs w:val="22"/>
        </w:rPr>
        <w:t>二、基本要求</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（一）应明确人用经验所用药物的药学关键信息</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促进人用经验转化为注册审评证据，人用经验所用药物的药学研究应基于中医临床实践，明确药学关键信息。药学关键信息一般包括处方药味（包括药材基原、药用部位、炮制等）及其用量、辅料、制备工艺、剂型、用法用量等。</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lastRenderedPageBreak/>
        <w:t>（二）中药复方制剂新药的质量应与人用经验所用药物的质量基本一致</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以人用经验作为注册审评证据的中药复方制剂新药，应与人用经验所用药物进行对比研究，处方药味（包括药材基原、药用部位、炮制等）及其用量、工艺路线、剂型、用法用量等应一致。</w:t>
      </w:r>
      <w:proofErr w:type="gramStart"/>
      <w:r>
        <w:rPr>
          <w:rFonts w:ascii="Times New Roman" w:eastAsia="仿宋_GB2312" w:hAnsi="Times New Roman" w:cs="Times New Roman" w:hint="eastAsia"/>
          <w:sz w:val="32"/>
          <w:szCs w:val="32"/>
        </w:rPr>
        <w:t>若工</w:t>
      </w:r>
      <w:proofErr w:type="gramEnd"/>
      <w:r>
        <w:rPr>
          <w:rFonts w:ascii="Times New Roman" w:eastAsia="仿宋_GB2312" w:hAnsi="Times New Roman" w:cs="Times New Roman" w:hint="eastAsia"/>
          <w:sz w:val="32"/>
          <w:szCs w:val="32"/>
        </w:rPr>
        <w:t>艺参数、生产规模、辅料等发生改变，应进行支持相关改变的桥接研究。</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（三）人用经验药学关键信息应可溯源</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在中医临床实践中应注意收集整理人用经验所用药物的药学关键信息。作为注册审评证据的人用经验所用药物的药学关键信息应明确并可溯源。</w:t>
      </w:r>
      <w:r>
        <w:rPr>
          <w:rFonts w:ascii="Times New Roman" w:eastAsia="仿宋_GB2312" w:hAnsi="Times New Roman" w:cs="Times New Roman"/>
          <w:sz w:val="32"/>
          <w:szCs w:val="32"/>
        </w:rPr>
        <w:t xml:space="preserve"> </w:t>
      </w:r>
    </w:p>
    <w:p w:rsidR="00BC6D78" w:rsidRDefault="00BC6D78" w:rsidP="00BC6D78">
      <w:pPr>
        <w:pStyle w:val="1"/>
        <w:adjustRightInd w:val="0"/>
        <w:snapToGrid w:val="0"/>
        <w:spacing w:before="0" w:after="0" w:line="360" w:lineRule="auto"/>
        <w:ind w:firstLineChars="200" w:firstLine="640"/>
        <w:rPr>
          <w:rFonts w:ascii="黑体" w:eastAsia="黑体" w:hAnsi="黑体"/>
          <w:b w:val="0"/>
          <w:bCs w:val="0"/>
          <w:kern w:val="0"/>
          <w:sz w:val="32"/>
          <w:szCs w:val="22"/>
        </w:rPr>
      </w:pPr>
      <w:r>
        <w:rPr>
          <w:rFonts w:ascii="黑体" w:eastAsia="黑体" w:hAnsi="黑体" w:hint="eastAsia"/>
          <w:b w:val="0"/>
          <w:bCs w:val="0"/>
          <w:kern w:val="0"/>
          <w:sz w:val="32"/>
          <w:szCs w:val="22"/>
        </w:rPr>
        <w:t>三、主要内容</w:t>
      </w:r>
    </w:p>
    <w:p w:rsidR="00BC6D78" w:rsidRDefault="00BC6D78" w:rsidP="00BC6D78">
      <w:pPr>
        <w:pStyle w:val="a8"/>
        <w:spacing w:after="0"/>
        <w:ind w:firstLine="640"/>
        <w:jc w:val="both"/>
        <w:rPr>
          <w:rFonts w:ascii="Times New Roman" w:hAnsi="Times New Roman" w:cs="Times New Roman"/>
        </w:rPr>
      </w:pPr>
      <w:r>
        <w:rPr>
          <w:rFonts w:ascii="Times New Roman" w:hAnsi="Times New Roman" w:cs="Times New Roman" w:hint="eastAsia"/>
        </w:rPr>
        <w:t>作为注册审评证据的人用经验所用药物的药学研究内容，包括但不限于药材</w:t>
      </w:r>
      <w:r>
        <w:rPr>
          <w:rFonts w:ascii="Times New Roman" w:hAnsi="Times New Roman" w:cs="Times New Roman"/>
        </w:rPr>
        <w:t>/</w:t>
      </w:r>
      <w:r>
        <w:rPr>
          <w:rFonts w:ascii="Times New Roman" w:hAnsi="Times New Roman" w:cs="Times New Roman" w:hint="eastAsia"/>
        </w:rPr>
        <w:t>饮片、制备工艺、质量研究及质量标准（如适用）、稳定性研究（如适用）等。基于人用经验的中药复方制剂新药申请注册时，应根据《中药注册分类及申报资料要求》研究完善药学内容。</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（一）处方</w:t>
      </w:r>
    </w:p>
    <w:p w:rsidR="00BC6D78" w:rsidRDefault="00BC6D78" w:rsidP="00BC6D78">
      <w:pPr>
        <w:pStyle w:val="a8"/>
        <w:spacing w:after="0"/>
        <w:ind w:firstLine="640"/>
        <w:jc w:val="both"/>
      </w:pPr>
      <w:r>
        <w:rPr>
          <w:rFonts w:ascii="Times New Roman" w:hAnsi="Times New Roman" w:cs="Times New Roman" w:hint="eastAsia"/>
        </w:rPr>
        <w:t>应明确人用经验所用药物的处方药味（包括药材基原、药用部位、炮制等）及其用量。申请注册的中药复方制剂新药的上述信息应与人用经验所用药物一致，并明确药材产地、</w:t>
      </w:r>
      <w:r>
        <w:rPr>
          <w:rFonts w:ascii="Times New Roman" w:hAnsi="Times New Roman" w:cs="Times New Roman" w:hint="eastAsia"/>
        </w:rPr>
        <w:lastRenderedPageBreak/>
        <w:t>药材及饮片的质量控制要求等。</w:t>
      </w:r>
      <w:r>
        <w:rPr>
          <w:rFonts w:hint="eastAsia"/>
        </w:rPr>
        <w:t>保证药材、饮片质量相关信息可追溯。</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（二）制备工艺</w:t>
      </w:r>
    </w:p>
    <w:p w:rsidR="00BC6D78" w:rsidRDefault="00BC6D78" w:rsidP="00BC6D78">
      <w:pPr>
        <w:pStyle w:val="a8"/>
        <w:spacing w:after="0"/>
        <w:ind w:firstLine="640"/>
        <w:jc w:val="both"/>
        <w:rPr>
          <w:rFonts w:hAnsi="仿宋_GB2312" w:cs="仿宋_GB2312"/>
        </w:rPr>
      </w:pPr>
      <w:r>
        <w:rPr>
          <w:rFonts w:ascii="Times New Roman" w:hAnsi="Times New Roman" w:cs="Times New Roman" w:hint="eastAsia"/>
        </w:rPr>
        <w:t>应明确人用经验所用药物的工艺路线及关键工艺参数</w:t>
      </w:r>
      <w:r>
        <w:rPr>
          <w:rFonts w:hAnsi="仿宋_GB2312" w:cs="仿宋_GB2312" w:hint="eastAsia"/>
        </w:rPr>
        <w:t>。</w:t>
      </w:r>
    </w:p>
    <w:p w:rsidR="00BC6D78" w:rsidRDefault="00BC6D78" w:rsidP="00BC6D78">
      <w:pPr>
        <w:pStyle w:val="a8"/>
        <w:spacing w:after="0"/>
        <w:ind w:firstLine="640"/>
        <w:jc w:val="both"/>
        <w:rPr>
          <w:rFonts w:hAnsi="仿宋_GB2312" w:cs="仿宋_GB2312"/>
        </w:rPr>
      </w:pPr>
      <w:r>
        <w:rPr>
          <w:rFonts w:ascii="Times New Roman" w:hAnsi="Times New Roman" w:cs="Times New Roman" w:hint="eastAsia"/>
        </w:rPr>
        <w:t>申请注册的中药复方制剂新药上述信息应与人用经验所用药物基本一致。</w:t>
      </w:r>
      <w:r>
        <w:rPr>
          <w:rFonts w:hAnsi="仿宋_GB2312" w:cs="仿宋_GB2312" w:hint="eastAsia"/>
        </w:rPr>
        <w:t>如工艺参数、生产规模、辅料种类及其用量等发生改变，可参照《已上市中药药学变更研究技术指导原则（试行）》进行研究、评估，一般不应引起药用物质基础和吸收利用的明显改变。</w:t>
      </w:r>
    </w:p>
    <w:p w:rsidR="00BC6D78" w:rsidRDefault="00BC6D78" w:rsidP="00BC6D78">
      <w:pPr>
        <w:pStyle w:val="a8"/>
        <w:spacing w:after="0"/>
        <w:ind w:firstLine="640"/>
        <w:jc w:val="both"/>
        <w:rPr>
          <w:rFonts w:hAnsi="仿宋_GB2312" w:cs="仿宋_GB2312"/>
        </w:rPr>
      </w:pPr>
      <w:r>
        <w:rPr>
          <w:rFonts w:ascii="Times New Roman" w:hAnsi="Times New Roman" w:cs="Times New Roman" w:hint="eastAsia"/>
        </w:rPr>
        <w:t>除已获批准的制剂（如医疗机构中药制剂）外，人用经验所用药物的制备工艺应是能够反映中医临床实践的传统工艺。</w:t>
      </w:r>
      <w:r>
        <w:rPr>
          <w:rFonts w:cs="仿宋_GB2312" w:hint="eastAsia"/>
        </w:rPr>
        <w:t>传统工艺指《总局关于对医疗机构应用传统工艺配制中药制剂实施备案管理的公告（2018年第19号）》中有关传统中药制剂所采用的工艺</w:t>
      </w:r>
      <w:r>
        <w:rPr>
          <w:rFonts w:ascii="Times New Roman" w:hAnsi="Times New Roman" w:cs="Times New Roman" w:hint="eastAsia"/>
        </w:rPr>
        <w:t>。</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（三）剂型</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申请注册的中药复方制剂新药的剂型应与人用经验所用药物一致。如发生改变，应研究、评估</w:t>
      </w:r>
      <w:r>
        <w:rPr>
          <w:rFonts w:ascii="仿宋_GB2312" w:eastAsia="仿宋_GB2312" w:hAnsi="仿宋_GB2312" w:cs="仿宋_GB2312" w:hint="eastAsia"/>
          <w:sz w:val="32"/>
          <w:szCs w:val="32"/>
        </w:rPr>
        <w:t>对药物有效性、安全性的影响。一般情况下，临床使用汤剂、合剂的，申请注册的中药复方制剂新药可以制成颗粒剂</w:t>
      </w:r>
      <w:r>
        <w:rPr>
          <w:rFonts w:ascii="Times New Roman" w:eastAsia="仿宋_GB2312" w:hAnsi="Times New Roman" w:cs="Times New Roman" w:hint="eastAsia"/>
          <w:sz w:val="32"/>
          <w:szCs w:val="32"/>
        </w:rPr>
        <w:t>。</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（四）质量研究及质量标准</w:t>
      </w:r>
    </w:p>
    <w:p w:rsidR="00BC6D78" w:rsidRDefault="00BC6D78" w:rsidP="00BC6D78">
      <w:pPr>
        <w:pStyle w:val="a8"/>
        <w:spacing w:after="0"/>
        <w:ind w:firstLine="640"/>
        <w:jc w:val="both"/>
        <w:rPr>
          <w:rFonts w:ascii="Times New Roman" w:hAnsi="Times New Roman" w:cs="Times New Roman"/>
        </w:rPr>
      </w:pPr>
      <w:r>
        <w:rPr>
          <w:rFonts w:ascii="Times New Roman" w:hAnsi="Times New Roman" w:cs="Times New Roman" w:hint="eastAsia"/>
        </w:rPr>
        <w:t>人用经验所用药物的质量应满足临床需求，保证质量基本可控。</w:t>
      </w:r>
    </w:p>
    <w:p w:rsidR="00BC6D78" w:rsidRDefault="00BC6D78" w:rsidP="00BC6D78">
      <w:pPr>
        <w:pStyle w:val="a8"/>
        <w:spacing w:after="0"/>
        <w:ind w:firstLine="640"/>
        <w:jc w:val="both"/>
        <w:rPr>
          <w:rFonts w:ascii="Times New Roman" w:hAnsi="Times New Roman" w:cs="Times New Roman"/>
        </w:rPr>
      </w:pPr>
      <w:r>
        <w:rPr>
          <w:rFonts w:ascii="Times New Roman" w:hAnsi="Times New Roman" w:cs="Times New Roman" w:hint="eastAsia"/>
        </w:rPr>
        <w:lastRenderedPageBreak/>
        <w:t>应基于中药质量控制特点，对中药复方制剂新药进行质量研究，并</w:t>
      </w:r>
      <w:r>
        <w:rPr>
          <w:rFonts w:hint="eastAsia"/>
          <w:szCs w:val="24"/>
        </w:rPr>
        <w:t>从药材、饮片、制剂工艺等全过程加强质量控制研究，</w:t>
      </w:r>
      <w:r>
        <w:rPr>
          <w:rFonts w:ascii="Times New Roman" w:hAnsi="Times New Roman" w:cs="Times New Roman" w:hint="eastAsia"/>
        </w:rPr>
        <w:t>明确所用</w:t>
      </w:r>
      <w:r>
        <w:rPr>
          <w:rFonts w:hint="eastAsia"/>
          <w:szCs w:val="24"/>
        </w:rPr>
        <w:t>药材、饮片、中间体及制剂的</w:t>
      </w:r>
      <w:r>
        <w:rPr>
          <w:rFonts w:ascii="Times New Roman" w:hAnsi="Times New Roman" w:cs="Times New Roman" w:hint="eastAsia"/>
        </w:rPr>
        <w:t>质量标准，</w:t>
      </w:r>
      <w:r>
        <w:rPr>
          <w:rFonts w:hint="eastAsia"/>
          <w:szCs w:val="24"/>
        </w:rPr>
        <w:t>提高质量可控性</w:t>
      </w:r>
      <w:r>
        <w:rPr>
          <w:rFonts w:hint="eastAsia"/>
        </w:rPr>
        <w:t>。</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（五）稳定性</w:t>
      </w:r>
    </w:p>
    <w:p w:rsidR="00BC6D78" w:rsidRDefault="00BC6D78" w:rsidP="00BC6D78">
      <w:pPr>
        <w:adjustRightInd w:val="0"/>
        <w:snapToGrid w:val="0"/>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根据中药复方制剂新药稳定性研究结果，拟定有效期、贮藏条件、直接接触药品的包装材料和容器。</w:t>
      </w:r>
    </w:p>
    <w:p w:rsidR="00BC6D78" w:rsidRDefault="00BC6D78" w:rsidP="00BC6D78">
      <w:pPr>
        <w:adjustRightInd w:val="0"/>
        <w:snapToGrid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若中药复方制剂新药与人用经验所用药物处方药味及其用量、制备工艺及关键工艺参数、辅料种类及用量、剂型、规格、直接接触药品的包装材料等一致，人用经验所用药物的稳定性研究数据可以作为申请注册的中药复方制剂新药有效期的支持性数据。</w:t>
      </w:r>
    </w:p>
    <w:p w:rsidR="00BC6D78" w:rsidRDefault="00BC6D78" w:rsidP="00BC6D78">
      <w:pPr>
        <w:pStyle w:val="2"/>
        <w:adjustRightInd w:val="0"/>
        <w:snapToGrid w:val="0"/>
        <w:spacing w:before="0" w:after="0" w:line="360" w:lineRule="auto"/>
        <w:ind w:firstLineChars="200" w:firstLine="640"/>
        <w:rPr>
          <w:rFonts w:ascii="Times New Roman" w:eastAsia="楷体_GB2312" w:hAnsi="Times New Roman" w:cs="Times New Roman"/>
          <w:b w:val="0"/>
          <w:bCs w:val="0"/>
          <w:kern w:val="0"/>
        </w:rPr>
      </w:pPr>
      <w:r>
        <w:rPr>
          <w:rFonts w:ascii="Times New Roman" w:eastAsia="楷体_GB2312" w:hAnsi="Times New Roman" w:cs="Times New Roman" w:hint="eastAsia"/>
          <w:b w:val="0"/>
          <w:bCs w:val="0"/>
          <w:kern w:val="0"/>
        </w:rPr>
        <w:t>（六）桥接研究</w:t>
      </w:r>
    </w:p>
    <w:p w:rsidR="00B14593" w:rsidRPr="00BC6D78" w:rsidRDefault="00BC6D78" w:rsidP="00BC6D78">
      <w:pPr>
        <w:adjustRightInd w:val="0"/>
        <w:snapToGrid w:val="0"/>
        <w:spacing w:line="360" w:lineRule="auto"/>
        <w:ind w:firstLineChars="200" w:firstLine="640"/>
      </w:pPr>
      <w:r>
        <w:rPr>
          <w:rFonts w:ascii="Times New Roman" w:eastAsia="仿宋_GB2312" w:hAnsi="Times New Roman" w:cs="Times New Roman" w:hint="eastAsia"/>
          <w:sz w:val="32"/>
          <w:szCs w:val="32"/>
        </w:rPr>
        <w:t>在中药复方制剂新药与人用经验所用药物的处方药味</w:t>
      </w:r>
      <w:r>
        <w:rPr>
          <w:rFonts w:ascii="Times New Roman" w:eastAsia="仿宋_GB2312" w:hAnsi="Times New Roman" w:cs="Times New Roman" w:hint="eastAsia"/>
          <w:sz w:val="32"/>
        </w:rPr>
        <w:t>（包括药材基原、药用部位、炮制等）</w:t>
      </w:r>
      <w:r>
        <w:rPr>
          <w:rFonts w:ascii="Times New Roman" w:eastAsia="仿宋_GB2312" w:hAnsi="Times New Roman" w:cs="Times New Roman" w:hint="eastAsia"/>
          <w:sz w:val="32"/>
          <w:szCs w:val="32"/>
        </w:rPr>
        <w:t>及其用量、工艺路线、给药途径、日用饮片量</w:t>
      </w:r>
      <w:r>
        <w:rPr>
          <w:rFonts w:ascii="仿宋_GB2312" w:eastAsia="仿宋_GB2312" w:hint="eastAsia"/>
          <w:sz w:val="32"/>
        </w:rPr>
        <w:t>一致的前提下，</w:t>
      </w:r>
      <w:proofErr w:type="gramStart"/>
      <w:r>
        <w:rPr>
          <w:rFonts w:ascii="Times New Roman" w:eastAsia="仿宋_GB2312" w:hAnsi="Times New Roman" w:cs="Times New Roman" w:hint="eastAsia"/>
          <w:sz w:val="32"/>
          <w:szCs w:val="32"/>
        </w:rPr>
        <w:t>若工</w:t>
      </w:r>
      <w:proofErr w:type="gramEnd"/>
      <w:r>
        <w:rPr>
          <w:rFonts w:ascii="Times New Roman" w:eastAsia="仿宋_GB2312" w:hAnsi="Times New Roman" w:cs="Times New Roman" w:hint="eastAsia"/>
          <w:sz w:val="32"/>
          <w:szCs w:val="32"/>
        </w:rPr>
        <w:t>艺参数、生产规模、辅料等发生改变，应根据具体情况进行桥接研究评估，可</w:t>
      </w:r>
      <w:r>
        <w:rPr>
          <w:rFonts w:ascii="仿宋_GB2312" w:eastAsia="仿宋_GB2312" w:hint="eastAsia"/>
          <w:sz w:val="32"/>
        </w:rPr>
        <w:t>采用合适的指标（如干膏率、浸出物/总固体、指标</w:t>
      </w:r>
      <w:r>
        <w:rPr>
          <w:rFonts w:ascii="Times New Roman" w:eastAsia="仿宋_GB2312" w:hAnsi="Times New Roman" w:cs="Times New Roman" w:hint="eastAsia"/>
          <w:sz w:val="32"/>
          <w:szCs w:val="32"/>
        </w:rPr>
        <w:t>成份的含量、</w:t>
      </w:r>
      <w:r>
        <w:rPr>
          <w:rFonts w:ascii="仿宋_GB2312" w:eastAsia="仿宋_GB2312" w:hint="eastAsia"/>
          <w:sz w:val="32"/>
        </w:rPr>
        <w:t>特征/指纹图谱等）进行对比分析，并</w:t>
      </w:r>
      <w:r>
        <w:rPr>
          <w:rFonts w:ascii="Times New Roman" w:eastAsia="仿宋_GB2312" w:hAnsi="Times New Roman" w:cs="Times New Roman" w:hint="eastAsia"/>
          <w:sz w:val="32"/>
          <w:szCs w:val="32"/>
        </w:rPr>
        <w:t>提供支持相关改变的桥接研究资料。</w:t>
      </w:r>
    </w:p>
    <w:sectPr w:rsidR="00B14593" w:rsidRPr="00BC6D78" w:rsidSect="00B0387F">
      <w:footerReference w:type="default" r:id="rId8"/>
      <w:pgSz w:w="11906" w:h="16838"/>
      <w:pgMar w:top="1440" w:right="1800" w:bottom="1440" w:left="1800" w:header="851" w:footer="764"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61" w:rsidRDefault="00D43461" w:rsidP="00BC6D78">
      <w:r>
        <w:separator/>
      </w:r>
    </w:p>
  </w:endnote>
  <w:endnote w:type="continuationSeparator" w:id="0">
    <w:p w:rsidR="00D43461" w:rsidRDefault="00D43461" w:rsidP="00BC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87F" w:rsidRDefault="00B0387F">
    <w:pPr>
      <w:pStyle w:val="a5"/>
      <w:jc w:val="center"/>
    </w:pPr>
  </w:p>
  <w:p w:rsidR="00BC6D78" w:rsidRDefault="00BC6D7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186638"/>
      <w:docPartObj>
        <w:docPartGallery w:val="Page Numbers (Bottom of Page)"/>
        <w:docPartUnique/>
      </w:docPartObj>
    </w:sdtPr>
    <w:sdtEndPr/>
    <w:sdtContent>
      <w:p w:rsidR="00BC6D78" w:rsidRDefault="00BC6D78">
        <w:pPr>
          <w:pStyle w:val="a5"/>
          <w:jc w:val="center"/>
        </w:pPr>
        <w:r>
          <w:fldChar w:fldCharType="begin"/>
        </w:r>
        <w:r>
          <w:instrText>PAGE   \* MERGEFORMAT</w:instrText>
        </w:r>
        <w:r>
          <w:fldChar w:fldCharType="separate"/>
        </w:r>
        <w:r w:rsidR="00B0387F" w:rsidRPr="00B0387F">
          <w:rPr>
            <w:noProof/>
            <w:lang w:val="zh-CN"/>
          </w:rPr>
          <w:t>1</w:t>
        </w:r>
        <w:r>
          <w:fldChar w:fldCharType="end"/>
        </w:r>
      </w:p>
    </w:sdtContent>
  </w:sdt>
  <w:p w:rsidR="00BC6D78" w:rsidRDefault="00BC6D7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15979"/>
      <w:docPartObj>
        <w:docPartGallery w:val="Page Numbers (Bottom of Page)"/>
        <w:docPartUnique/>
      </w:docPartObj>
    </w:sdtPr>
    <w:sdtEndPr/>
    <w:sdtContent>
      <w:p w:rsidR="00B0387F" w:rsidRDefault="00B0387F">
        <w:pPr>
          <w:pStyle w:val="a5"/>
          <w:jc w:val="center"/>
        </w:pPr>
        <w:r>
          <w:fldChar w:fldCharType="begin"/>
        </w:r>
        <w:r>
          <w:instrText>PAGE   \* MERGEFORMAT</w:instrText>
        </w:r>
        <w:r>
          <w:fldChar w:fldCharType="separate"/>
        </w:r>
        <w:r w:rsidR="00AA0DBC" w:rsidRPr="00AA0DBC">
          <w:rPr>
            <w:noProof/>
            <w:lang w:val="zh-CN"/>
          </w:rPr>
          <w:t>4</w:t>
        </w:r>
        <w:r>
          <w:fldChar w:fldCharType="end"/>
        </w:r>
      </w:p>
    </w:sdtContent>
  </w:sdt>
  <w:p w:rsidR="00B0387F" w:rsidRDefault="00B038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61" w:rsidRDefault="00D43461" w:rsidP="00BC6D78">
      <w:r>
        <w:separator/>
      </w:r>
    </w:p>
  </w:footnote>
  <w:footnote w:type="continuationSeparator" w:id="0">
    <w:p w:rsidR="00D43461" w:rsidRDefault="00D43461" w:rsidP="00BC6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AE"/>
    <w:rsid w:val="0002717E"/>
    <w:rsid w:val="00032EEF"/>
    <w:rsid w:val="00040223"/>
    <w:rsid w:val="00045B02"/>
    <w:rsid w:val="00046A5F"/>
    <w:rsid w:val="0005222B"/>
    <w:rsid w:val="00053FE9"/>
    <w:rsid w:val="00055A2F"/>
    <w:rsid w:val="00065551"/>
    <w:rsid w:val="00073D82"/>
    <w:rsid w:val="00074281"/>
    <w:rsid w:val="0009040E"/>
    <w:rsid w:val="000949C5"/>
    <w:rsid w:val="000B263A"/>
    <w:rsid w:val="000D65F7"/>
    <w:rsid w:val="000E6887"/>
    <w:rsid w:val="000F01BB"/>
    <w:rsid w:val="000F2834"/>
    <w:rsid w:val="000F50DD"/>
    <w:rsid w:val="00104535"/>
    <w:rsid w:val="00106309"/>
    <w:rsid w:val="00116396"/>
    <w:rsid w:val="00126B99"/>
    <w:rsid w:val="00131973"/>
    <w:rsid w:val="00137683"/>
    <w:rsid w:val="00146363"/>
    <w:rsid w:val="001531D1"/>
    <w:rsid w:val="00154E74"/>
    <w:rsid w:val="00171434"/>
    <w:rsid w:val="00171C0D"/>
    <w:rsid w:val="00194949"/>
    <w:rsid w:val="00194E93"/>
    <w:rsid w:val="001952CE"/>
    <w:rsid w:val="00196203"/>
    <w:rsid w:val="001C7843"/>
    <w:rsid w:val="001E2CAD"/>
    <w:rsid w:val="001E2EE1"/>
    <w:rsid w:val="001E3026"/>
    <w:rsid w:val="001E61BF"/>
    <w:rsid w:val="001F0002"/>
    <w:rsid w:val="001F3F16"/>
    <w:rsid w:val="001F67AF"/>
    <w:rsid w:val="001F7545"/>
    <w:rsid w:val="001F7877"/>
    <w:rsid w:val="00204726"/>
    <w:rsid w:val="0022729C"/>
    <w:rsid w:val="00237F2F"/>
    <w:rsid w:val="00253A96"/>
    <w:rsid w:val="002560FA"/>
    <w:rsid w:val="002774A8"/>
    <w:rsid w:val="00282F03"/>
    <w:rsid w:val="0029385E"/>
    <w:rsid w:val="00295189"/>
    <w:rsid w:val="002B0DA5"/>
    <w:rsid w:val="002D2C1B"/>
    <w:rsid w:val="002E62BF"/>
    <w:rsid w:val="002F06BA"/>
    <w:rsid w:val="002F43EB"/>
    <w:rsid w:val="003011CA"/>
    <w:rsid w:val="00307FB1"/>
    <w:rsid w:val="00317F56"/>
    <w:rsid w:val="00346297"/>
    <w:rsid w:val="00353C7E"/>
    <w:rsid w:val="003552C7"/>
    <w:rsid w:val="003608D6"/>
    <w:rsid w:val="0037066C"/>
    <w:rsid w:val="0037718D"/>
    <w:rsid w:val="00380FFC"/>
    <w:rsid w:val="0038204D"/>
    <w:rsid w:val="00382B48"/>
    <w:rsid w:val="003838BF"/>
    <w:rsid w:val="003A628E"/>
    <w:rsid w:val="003C03C8"/>
    <w:rsid w:val="003D46EB"/>
    <w:rsid w:val="003E2FD6"/>
    <w:rsid w:val="003E6D07"/>
    <w:rsid w:val="003F3005"/>
    <w:rsid w:val="00404BED"/>
    <w:rsid w:val="00410689"/>
    <w:rsid w:val="00413A5F"/>
    <w:rsid w:val="00421D41"/>
    <w:rsid w:val="0042569E"/>
    <w:rsid w:val="004302F4"/>
    <w:rsid w:val="004424C8"/>
    <w:rsid w:val="00461333"/>
    <w:rsid w:val="00495F83"/>
    <w:rsid w:val="0049629F"/>
    <w:rsid w:val="00497150"/>
    <w:rsid w:val="004A25D3"/>
    <w:rsid w:val="004A35A4"/>
    <w:rsid w:val="004D2982"/>
    <w:rsid w:val="004D2991"/>
    <w:rsid w:val="004E1EF0"/>
    <w:rsid w:val="004E3623"/>
    <w:rsid w:val="004F506E"/>
    <w:rsid w:val="004F5930"/>
    <w:rsid w:val="004F669E"/>
    <w:rsid w:val="00520B3B"/>
    <w:rsid w:val="00541CC0"/>
    <w:rsid w:val="005432FF"/>
    <w:rsid w:val="0054344E"/>
    <w:rsid w:val="00544130"/>
    <w:rsid w:val="0054624A"/>
    <w:rsid w:val="0056450B"/>
    <w:rsid w:val="005730AA"/>
    <w:rsid w:val="00596A15"/>
    <w:rsid w:val="005A08EC"/>
    <w:rsid w:val="005A1B6D"/>
    <w:rsid w:val="005C2246"/>
    <w:rsid w:val="005C4FD7"/>
    <w:rsid w:val="005C7A5D"/>
    <w:rsid w:val="005E03F4"/>
    <w:rsid w:val="005E4EFB"/>
    <w:rsid w:val="005E774F"/>
    <w:rsid w:val="005F07AE"/>
    <w:rsid w:val="005F3B2B"/>
    <w:rsid w:val="005F7DE0"/>
    <w:rsid w:val="006040C0"/>
    <w:rsid w:val="00607FA6"/>
    <w:rsid w:val="00611873"/>
    <w:rsid w:val="006207CF"/>
    <w:rsid w:val="00620D9B"/>
    <w:rsid w:val="006331D5"/>
    <w:rsid w:val="0063708C"/>
    <w:rsid w:val="00656F1B"/>
    <w:rsid w:val="00657C20"/>
    <w:rsid w:val="00671A15"/>
    <w:rsid w:val="0067609E"/>
    <w:rsid w:val="006A558B"/>
    <w:rsid w:val="006B564A"/>
    <w:rsid w:val="006C05D8"/>
    <w:rsid w:val="006C0DFC"/>
    <w:rsid w:val="006C0F82"/>
    <w:rsid w:val="006C6B68"/>
    <w:rsid w:val="006C72B8"/>
    <w:rsid w:val="006D340F"/>
    <w:rsid w:val="006E13B4"/>
    <w:rsid w:val="006E2134"/>
    <w:rsid w:val="006E2D86"/>
    <w:rsid w:val="006E3117"/>
    <w:rsid w:val="006E7748"/>
    <w:rsid w:val="00702997"/>
    <w:rsid w:val="00733277"/>
    <w:rsid w:val="00734F0D"/>
    <w:rsid w:val="00744100"/>
    <w:rsid w:val="00750EB7"/>
    <w:rsid w:val="00762FB0"/>
    <w:rsid w:val="00765F85"/>
    <w:rsid w:val="00771A82"/>
    <w:rsid w:val="0077489E"/>
    <w:rsid w:val="00774F01"/>
    <w:rsid w:val="00776503"/>
    <w:rsid w:val="00776F08"/>
    <w:rsid w:val="007823A3"/>
    <w:rsid w:val="00782675"/>
    <w:rsid w:val="00796578"/>
    <w:rsid w:val="007A01F1"/>
    <w:rsid w:val="007A4435"/>
    <w:rsid w:val="007B4B9C"/>
    <w:rsid w:val="007F0085"/>
    <w:rsid w:val="007F5FBC"/>
    <w:rsid w:val="0082082A"/>
    <w:rsid w:val="00821523"/>
    <w:rsid w:val="00833D77"/>
    <w:rsid w:val="00845445"/>
    <w:rsid w:val="00857A37"/>
    <w:rsid w:val="008611E0"/>
    <w:rsid w:val="008641BD"/>
    <w:rsid w:val="00880459"/>
    <w:rsid w:val="008852B0"/>
    <w:rsid w:val="00891223"/>
    <w:rsid w:val="008B1377"/>
    <w:rsid w:val="008C0CE8"/>
    <w:rsid w:val="008C1641"/>
    <w:rsid w:val="008C17BD"/>
    <w:rsid w:val="008D180A"/>
    <w:rsid w:val="008E3F6C"/>
    <w:rsid w:val="008E3FD0"/>
    <w:rsid w:val="008E48A5"/>
    <w:rsid w:val="009109FA"/>
    <w:rsid w:val="009166E9"/>
    <w:rsid w:val="00930D93"/>
    <w:rsid w:val="00945E5D"/>
    <w:rsid w:val="00956450"/>
    <w:rsid w:val="00976D83"/>
    <w:rsid w:val="009829AD"/>
    <w:rsid w:val="00986205"/>
    <w:rsid w:val="009A5044"/>
    <w:rsid w:val="009A7A0A"/>
    <w:rsid w:val="009B55AD"/>
    <w:rsid w:val="009D4BF5"/>
    <w:rsid w:val="009D535F"/>
    <w:rsid w:val="009E112D"/>
    <w:rsid w:val="00A223A4"/>
    <w:rsid w:val="00A261D6"/>
    <w:rsid w:val="00A362AF"/>
    <w:rsid w:val="00A41FE1"/>
    <w:rsid w:val="00A4543C"/>
    <w:rsid w:val="00A71E4F"/>
    <w:rsid w:val="00A74D82"/>
    <w:rsid w:val="00A8343F"/>
    <w:rsid w:val="00A91A80"/>
    <w:rsid w:val="00A95B53"/>
    <w:rsid w:val="00AA0DBC"/>
    <w:rsid w:val="00AB1D6A"/>
    <w:rsid w:val="00AB40D8"/>
    <w:rsid w:val="00AC3C3E"/>
    <w:rsid w:val="00AD0D68"/>
    <w:rsid w:val="00AD23D8"/>
    <w:rsid w:val="00AD4F52"/>
    <w:rsid w:val="00AD7694"/>
    <w:rsid w:val="00AE079D"/>
    <w:rsid w:val="00AF6675"/>
    <w:rsid w:val="00B0387F"/>
    <w:rsid w:val="00B14593"/>
    <w:rsid w:val="00B36C2B"/>
    <w:rsid w:val="00B47FE0"/>
    <w:rsid w:val="00B55902"/>
    <w:rsid w:val="00B6401F"/>
    <w:rsid w:val="00B664F4"/>
    <w:rsid w:val="00B6782A"/>
    <w:rsid w:val="00B814B4"/>
    <w:rsid w:val="00B877FC"/>
    <w:rsid w:val="00BB1070"/>
    <w:rsid w:val="00BB2492"/>
    <w:rsid w:val="00BC6D78"/>
    <w:rsid w:val="00BD3BF8"/>
    <w:rsid w:val="00BE2AE4"/>
    <w:rsid w:val="00BF1406"/>
    <w:rsid w:val="00BF495B"/>
    <w:rsid w:val="00BF4BF2"/>
    <w:rsid w:val="00C02723"/>
    <w:rsid w:val="00C06647"/>
    <w:rsid w:val="00C17E7E"/>
    <w:rsid w:val="00C46599"/>
    <w:rsid w:val="00C63139"/>
    <w:rsid w:val="00C7034D"/>
    <w:rsid w:val="00C768D9"/>
    <w:rsid w:val="00C86C59"/>
    <w:rsid w:val="00C876AF"/>
    <w:rsid w:val="00C92719"/>
    <w:rsid w:val="00CB166B"/>
    <w:rsid w:val="00CB3840"/>
    <w:rsid w:val="00CB4F50"/>
    <w:rsid w:val="00CC4EE3"/>
    <w:rsid w:val="00CD4CE8"/>
    <w:rsid w:val="00CD610B"/>
    <w:rsid w:val="00CE6BA7"/>
    <w:rsid w:val="00CF2051"/>
    <w:rsid w:val="00D111F0"/>
    <w:rsid w:val="00D21874"/>
    <w:rsid w:val="00D31255"/>
    <w:rsid w:val="00D35426"/>
    <w:rsid w:val="00D357BE"/>
    <w:rsid w:val="00D42B4C"/>
    <w:rsid w:val="00D43400"/>
    <w:rsid w:val="00D43461"/>
    <w:rsid w:val="00D53090"/>
    <w:rsid w:val="00D53571"/>
    <w:rsid w:val="00D5376D"/>
    <w:rsid w:val="00D607F9"/>
    <w:rsid w:val="00D734EC"/>
    <w:rsid w:val="00D932A2"/>
    <w:rsid w:val="00DC1413"/>
    <w:rsid w:val="00DC2F0A"/>
    <w:rsid w:val="00DF67F5"/>
    <w:rsid w:val="00E00BF9"/>
    <w:rsid w:val="00E20B64"/>
    <w:rsid w:val="00E2316D"/>
    <w:rsid w:val="00E24359"/>
    <w:rsid w:val="00E27A0B"/>
    <w:rsid w:val="00E648CB"/>
    <w:rsid w:val="00E70E10"/>
    <w:rsid w:val="00E853F8"/>
    <w:rsid w:val="00E86171"/>
    <w:rsid w:val="00E9627C"/>
    <w:rsid w:val="00EA1E9C"/>
    <w:rsid w:val="00EA33C7"/>
    <w:rsid w:val="00EA496C"/>
    <w:rsid w:val="00EB1BB5"/>
    <w:rsid w:val="00EB7D3E"/>
    <w:rsid w:val="00ED07D6"/>
    <w:rsid w:val="00ED42AA"/>
    <w:rsid w:val="00ED65A8"/>
    <w:rsid w:val="00EF4C69"/>
    <w:rsid w:val="00EF4E47"/>
    <w:rsid w:val="00F11C1D"/>
    <w:rsid w:val="00F135B2"/>
    <w:rsid w:val="00F15725"/>
    <w:rsid w:val="00F2107D"/>
    <w:rsid w:val="00F23E80"/>
    <w:rsid w:val="00F63AE8"/>
    <w:rsid w:val="00F65A7C"/>
    <w:rsid w:val="00F76742"/>
    <w:rsid w:val="00F81BB1"/>
    <w:rsid w:val="00F84BFD"/>
    <w:rsid w:val="00F86140"/>
    <w:rsid w:val="00F93A15"/>
    <w:rsid w:val="00F9718F"/>
    <w:rsid w:val="00FA1D6B"/>
    <w:rsid w:val="00FC3D91"/>
    <w:rsid w:val="00FC7C67"/>
    <w:rsid w:val="00FF093E"/>
    <w:rsid w:val="00FF5CC1"/>
    <w:rsid w:val="00FF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CC6D8"/>
  <w15:chartTrackingRefBased/>
  <w15:docId w15:val="{149EBCF8-8912-4D96-BC5C-1EA25F64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78"/>
    <w:pPr>
      <w:widowControl w:val="0"/>
      <w:jc w:val="both"/>
    </w:pPr>
  </w:style>
  <w:style w:type="paragraph" w:styleId="1">
    <w:name w:val="heading 1"/>
    <w:basedOn w:val="a"/>
    <w:next w:val="a"/>
    <w:link w:val="10"/>
    <w:uiPriority w:val="9"/>
    <w:qFormat/>
    <w:rsid w:val="00BC6D78"/>
    <w:pPr>
      <w:keepNext/>
      <w:keepLines/>
      <w:spacing w:before="340" w:after="330" w:line="576" w:lineRule="auto"/>
      <w:outlineLvl w:val="0"/>
    </w:pPr>
    <w:rPr>
      <w:rFonts w:eastAsia="宋体" w:cs="Calibri"/>
      <w:b/>
      <w:bCs/>
      <w:kern w:val="44"/>
      <w:sz w:val="44"/>
      <w:szCs w:val="44"/>
    </w:rPr>
  </w:style>
  <w:style w:type="paragraph" w:styleId="2">
    <w:name w:val="heading 2"/>
    <w:basedOn w:val="a"/>
    <w:next w:val="a"/>
    <w:link w:val="20"/>
    <w:uiPriority w:val="9"/>
    <w:semiHidden/>
    <w:unhideWhenUsed/>
    <w:qFormat/>
    <w:rsid w:val="00BC6D78"/>
    <w:pPr>
      <w:keepNext/>
      <w:keepLines/>
      <w:spacing w:before="260" w:after="260" w:line="412"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D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C6D78"/>
    <w:rPr>
      <w:sz w:val="18"/>
      <w:szCs w:val="18"/>
    </w:rPr>
  </w:style>
  <w:style w:type="paragraph" w:styleId="a5">
    <w:name w:val="footer"/>
    <w:basedOn w:val="a"/>
    <w:link w:val="a6"/>
    <w:uiPriority w:val="99"/>
    <w:unhideWhenUsed/>
    <w:rsid w:val="00BC6D78"/>
    <w:pPr>
      <w:tabs>
        <w:tab w:val="center" w:pos="4153"/>
        <w:tab w:val="right" w:pos="8306"/>
      </w:tabs>
      <w:snapToGrid w:val="0"/>
      <w:jc w:val="left"/>
    </w:pPr>
    <w:rPr>
      <w:sz w:val="18"/>
      <w:szCs w:val="18"/>
    </w:rPr>
  </w:style>
  <w:style w:type="character" w:customStyle="1" w:styleId="a6">
    <w:name w:val="页脚 字符"/>
    <w:basedOn w:val="a0"/>
    <w:link w:val="a5"/>
    <w:uiPriority w:val="99"/>
    <w:rsid w:val="00BC6D78"/>
    <w:rPr>
      <w:sz w:val="18"/>
      <w:szCs w:val="18"/>
    </w:rPr>
  </w:style>
  <w:style w:type="character" w:customStyle="1" w:styleId="10">
    <w:name w:val="标题 1 字符"/>
    <w:basedOn w:val="a0"/>
    <w:link w:val="1"/>
    <w:uiPriority w:val="9"/>
    <w:rsid w:val="00BC6D78"/>
    <w:rPr>
      <w:rFonts w:eastAsia="宋体" w:cs="Calibri"/>
      <w:b/>
      <w:bCs/>
      <w:kern w:val="44"/>
      <w:sz w:val="44"/>
      <w:szCs w:val="44"/>
    </w:rPr>
  </w:style>
  <w:style w:type="character" w:customStyle="1" w:styleId="20">
    <w:name w:val="标题 2 字符"/>
    <w:basedOn w:val="a0"/>
    <w:link w:val="2"/>
    <w:uiPriority w:val="9"/>
    <w:semiHidden/>
    <w:rsid w:val="00BC6D78"/>
    <w:rPr>
      <w:rFonts w:asciiTheme="majorHAnsi" w:eastAsiaTheme="majorEastAsia" w:hAnsiTheme="majorHAnsi" w:cstheme="majorBidi"/>
      <w:b/>
      <w:bCs/>
      <w:sz w:val="32"/>
      <w:szCs w:val="32"/>
    </w:rPr>
  </w:style>
  <w:style w:type="paragraph" w:customStyle="1" w:styleId="TOC1">
    <w:name w:val="TOC 标题1"/>
    <w:basedOn w:val="1"/>
    <w:next w:val="a"/>
    <w:uiPriority w:val="39"/>
    <w:qFormat/>
    <w:rsid w:val="00BC6D78"/>
    <w:pPr>
      <w:widowControl/>
      <w:spacing w:before="480" w:after="0" w:line="276" w:lineRule="auto"/>
      <w:jc w:val="left"/>
      <w:outlineLvl w:val="9"/>
    </w:pPr>
    <w:rPr>
      <w:rFonts w:ascii="Calibri Light" w:hAnsi="Calibri Light" w:cs="Times New Roman"/>
      <w:color w:val="2E74B5"/>
      <w:kern w:val="0"/>
      <w:sz w:val="28"/>
      <w:szCs w:val="28"/>
    </w:rPr>
  </w:style>
  <w:style w:type="character" w:customStyle="1" w:styleId="a7">
    <w:name w:val="公文正文 字符"/>
    <w:basedOn w:val="a0"/>
    <w:link w:val="a8"/>
    <w:locked/>
    <w:rsid w:val="00BC6D78"/>
    <w:rPr>
      <w:rFonts w:ascii="仿宋_GB2312" w:eastAsia="仿宋_GB2312"/>
      <w:kern w:val="0"/>
      <w:sz w:val="32"/>
      <w:szCs w:val="32"/>
    </w:rPr>
  </w:style>
  <w:style w:type="paragraph" w:customStyle="1" w:styleId="a8">
    <w:name w:val="公文正文"/>
    <w:basedOn w:val="a"/>
    <w:link w:val="a7"/>
    <w:rsid w:val="00BC6D78"/>
    <w:pPr>
      <w:widowControl/>
      <w:adjustRightInd w:val="0"/>
      <w:snapToGrid w:val="0"/>
      <w:spacing w:after="160" w:line="360" w:lineRule="auto"/>
      <w:ind w:firstLineChars="200" w:firstLine="200"/>
      <w:jc w:val="left"/>
    </w:pPr>
    <w:rPr>
      <w:rFonts w:ascii="仿宋_GB2312" w:eastAsia="仿宋_GB2312"/>
      <w:kern w:val="0"/>
      <w:sz w:val="32"/>
      <w:szCs w:val="32"/>
    </w:rPr>
  </w:style>
  <w:style w:type="character" w:styleId="a9">
    <w:name w:val="line number"/>
    <w:basedOn w:val="a0"/>
    <w:uiPriority w:val="99"/>
    <w:semiHidden/>
    <w:unhideWhenUsed/>
    <w:rsid w:val="00BC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326</Words>
  <Characters>1859</Characters>
  <Application>Microsoft Office Word</Application>
  <DocSecurity>0</DocSecurity>
  <Lines>15</Lines>
  <Paragraphs>4</Paragraphs>
  <ScaleCrop>false</ScaleCrop>
  <Company>Microsoft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李灿</dc:creator>
  <cp:keywords/>
  <dc:description/>
  <cp:lastModifiedBy>李灿</cp:lastModifiedBy>
  <cp:revision>9</cp:revision>
  <dcterms:created xsi:type="dcterms:W3CDTF">2022-09-27T02:52:00Z</dcterms:created>
  <dcterms:modified xsi:type="dcterms:W3CDTF">2022-09-27T03:35:00Z</dcterms:modified>
</cp:coreProperties>
</file>