
<file path=[Content_Types].xml><?xml version="1.0" encoding="utf-8"?>
<Types xmlns="http://schemas.openxmlformats.org/package/2006/content-types">
  <Default Extension="xml" ContentType="application/xml"/>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C04</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31</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8W++kBAAC5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WnnFkw&#10;NPDbLz9/f/7259dXOm9/fGevXiaVOhdKCl7YlU88RW+v3RWKT4FZXLRgNzJ3e7N3BDFJGcWDlGQE&#10;R7XW3TusKQa2EbNkfeNNgiQxWJ8nsz9NRvaRCXo8n9DqjGloYvAVUA6Jzof4VqJh6VJxrWwSDUrY&#10;XYWYGoFyCEnPFi+V1nnw2rKu4m/Opmc5IaBWdXKmsOA364X2bAdpdfKXWZHnfpjHra0PRbRNeTJv&#10;3bHywPqg3xrr/coP0tBEc2/H7Usrc9/OAt79cf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J4PFvvpAQAAuQMAAA4AAAAAAAAAAQAgAAAAJwEAAGRycy9lMm9Eb2MueG1sUEsFBgAAAAAGAAYA&#10;WQEAAIIF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戒毒医疗机构吸毒成瘾认定服务规范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Specification</w:t>
      </w:r>
      <w:r>
        <w:rPr>
          <w:rFonts w:eastAsia="黑体"/>
          <w:szCs w:val="28"/>
        </w:rPr>
        <w:t xml:space="preserve"> </w:t>
      </w:r>
      <w:r>
        <w:rPr>
          <w:rFonts w:hint="eastAsia" w:eastAsia="黑体"/>
          <w:szCs w:val="28"/>
        </w:rPr>
        <w:t>of</w:t>
      </w:r>
      <w:r>
        <w:rPr>
          <w:rFonts w:eastAsia="黑体"/>
          <w:szCs w:val="28"/>
        </w:rPr>
        <w:t xml:space="preserve"> </w:t>
      </w:r>
      <w:r>
        <w:rPr>
          <w:rFonts w:hint="eastAsia" w:eastAsia="黑体"/>
          <w:szCs w:val="28"/>
        </w:rPr>
        <w:t>service</w:t>
      </w:r>
      <w:r>
        <w:rPr>
          <w:rFonts w:eastAsia="黑体"/>
          <w:szCs w:val="28"/>
        </w:rPr>
        <w:t xml:space="preserve"> </w:t>
      </w:r>
      <w:r>
        <w:rPr>
          <w:rFonts w:hint="eastAsia" w:eastAsia="黑体"/>
          <w:szCs w:val="28"/>
        </w:rPr>
        <w:t>for</w:t>
      </w:r>
      <w:r>
        <w:rPr>
          <w:rFonts w:eastAsia="黑体"/>
          <w:szCs w:val="28"/>
        </w:rPr>
        <w:t xml:space="preserve"> </w:t>
      </w:r>
      <w:r>
        <w:rPr>
          <w:rFonts w:hint="eastAsia" w:eastAsia="黑体"/>
          <w:szCs w:val="28"/>
        </w:rPr>
        <w:t>identification</w:t>
      </w:r>
      <w:r>
        <w:rPr>
          <w:rFonts w:eastAsia="黑体"/>
          <w:szCs w:val="28"/>
        </w:rPr>
        <w:t xml:space="preserve"> </w:t>
      </w:r>
      <w:r>
        <w:rPr>
          <w:rFonts w:hint="eastAsia" w:eastAsia="黑体"/>
          <w:szCs w:val="28"/>
        </w:rPr>
        <w:t>of</w:t>
      </w:r>
      <w:r>
        <w:rPr>
          <w:rFonts w:eastAsia="黑体"/>
          <w:szCs w:val="28"/>
        </w:rPr>
        <w:t xml:space="preserve"> </w:t>
      </w:r>
      <w:r>
        <w:rPr>
          <w:rFonts w:hint="eastAsia" w:eastAsia="黑体"/>
          <w:szCs w:val="28"/>
        </w:rPr>
        <w:t>drug</w:t>
      </w:r>
      <w:r>
        <w:rPr>
          <w:rFonts w:eastAsia="黑体"/>
          <w:szCs w:val="28"/>
        </w:rPr>
        <w:t xml:space="preserve"> </w:t>
      </w:r>
      <w:r>
        <w:rPr>
          <w:rFonts w:hint="eastAsia" w:eastAsia="黑体"/>
          <w:szCs w:val="28"/>
        </w:rPr>
        <w:t>addiction</w:t>
      </w:r>
      <w:r>
        <w:rPr>
          <w:rFonts w:eastAsia="黑体"/>
          <w:szCs w:val="28"/>
        </w:rPr>
        <w:t xml:space="preserve"> </w:t>
      </w:r>
      <w:r>
        <w:rPr>
          <w:rFonts w:hint="eastAsia" w:eastAsia="黑体"/>
          <w:szCs w:val="28"/>
        </w:rPr>
        <w:t>in</w:t>
      </w:r>
      <w:r>
        <w:rPr>
          <w:rFonts w:eastAsia="黑体"/>
          <w:szCs w:val="28"/>
        </w:rPr>
        <w:t xml:space="preserve"> </w:t>
      </w:r>
      <w:r>
        <w:rPr>
          <w:rFonts w:hint="eastAsia" w:eastAsia="黑体"/>
          <w:szCs w:val="28"/>
        </w:rPr>
        <w:t>medical</w:t>
      </w:r>
      <w:r>
        <w:rPr>
          <w:rFonts w:eastAsia="黑体"/>
          <w:szCs w:val="28"/>
        </w:rPr>
        <w:t xml:space="preserve"> </w:t>
      </w:r>
      <w:r>
        <w:rPr>
          <w:rFonts w:hint="eastAsia" w:eastAsia="黑体"/>
          <w:szCs w:val="28"/>
        </w:rPr>
        <w:t>institutions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rFonts w:hint="eastAsia"/>
          <w:sz w:val="24"/>
          <w:szCs w:val="28"/>
        </w:rPr>
        <w:t>（送审稿）</w:t>
      </w:r>
    </w:p>
    <w:p>
      <w:pPr>
        <w:pStyle w:val="19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上海市市场监督管理局</w:t>
      </w:r>
      <w:r>
        <w:rPr>
          <w:rFonts w:hAnsi="黑体"/>
          <w:w w:val="100"/>
          <w:sz w:val="28"/>
        </w:rPr>
        <w:fldChar w:fldCharType="end"/>
      </w:r>
      <w:bookmarkEnd w:id="1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9" w:type="first"/>
          <w:headerReference r:id="rId5" w:type="default"/>
          <w:footerReference r:id="rId7" w:type="default"/>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S&#10;jbbN6AEAALgDAAAOAAAAAAAAAAEAIAAAACYBAABkcnMvZTJvRG9jLnhtbFBLBQYAAAAABgAGAFkB&#10;AACABQAAAAA=&#10;">
                <v:fill on="f" focussize="0,0"/>
                <v:stroke color="#000000" joinstyle="round"/>
                <v:imagedata o:title=""/>
                <o:lock v:ext="edit" aspectratio="f"/>
                <w10:anchorlock/>
              </v:line>
            </w:pict>
          </mc:Fallback>
        </mc:AlternateContent>
      </w:r>
    </w:p>
    <w:p>
      <w:pPr>
        <w:pStyle w:val="94"/>
        <w:spacing w:after="468"/>
      </w:pPr>
      <w:bookmarkStart w:id="18" w:name="BookMark1"/>
      <w:bookmarkStart w:id="19" w:name="_Toc91489704"/>
      <w:r>
        <w:rPr>
          <w:rFonts w:hint="eastAsia"/>
          <w:spacing w:val="320"/>
        </w:rPr>
        <w:t>目</w:t>
      </w:r>
      <w:r>
        <w:rPr>
          <w:rFonts w:hint="eastAsia"/>
        </w:rPr>
        <w:t>次</w:t>
      </w:r>
    </w:p>
    <w:p>
      <w:pPr>
        <w:pStyle w:val="20"/>
        <w:tabs>
          <w:tab w:val="right" w:leader="dot" w:pos="9354"/>
        </w:tabs>
      </w:pPr>
      <w:r>
        <w:fldChar w:fldCharType="begin"/>
      </w:r>
      <w:r>
        <w:instrText xml:space="preserve"> TOC \o "1-1" \h </w:instrText>
      </w:r>
      <w:r>
        <w:fldChar w:fldCharType="separate"/>
      </w:r>
      <w:r>
        <w:fldChar w:fldCharType="begin"/>
      </w:r>
      <w:r>
        <w:instrText xml:space="preserve"> HYPERLINK \l _Toc21171 </w:instrText>
      </w:r>
      <w:r>
        <w:fldChar w:fldCharType="separate"/>
      </w:r>
      <w:r>
        <w:rPr>
          <w:spacing w:val="320"/>
        </w:rPr>
        <w:t>前</w:t>
      </w:r>
      <w:r>
        <w:t>言</w:t>
      </w:r>
      <w:r>
        <w:tab/>
      </w:r>
      <w:r>
        <w:fldChar w:fldCharType="begin"/>
      </w:r>
      <w:r>
        <w:instrText xml:space="preserve"> PAGEREF _Toc21171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_Toc22763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_Toc22763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_Toc24526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_Toc24526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_Toc11891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_Toc11891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_Toc18633 </w:instrText>
      </w:r>
      <w:r>
        <w:fldChar w:fldCharType="separate"/>
      </w:r>
      <w:r>
        <w:rPr>
          <w:rFonts w:hint="eastAsia" w:ascii="黑体" w:eastAsia="黑体"/>
          <w:i w:val="0"/>
        </w:rPr>
        <w:t xml:space="preserve">4 </w:t>
      </w:r>
      <w:r>
        <w:rPr>
          <w:rFonts w:hint="eastAsia"/>
        </w:rPr>
        <w:t>机构要求</w:t>
      </w:r>
      <w:r>
        <w:tab/>
      </w:r>
      <w:r>
        <w:fldChar w:fldCharType="begin"/>
      </w:r>
      <w:r>
        <w:instrText xml:space="preserve"> PAGEREF _Toc18633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_Toc5737 </w:instrText>
      </w:r>
      <w:r>
        <w:fldChar w:fldCharType="separate"/>
      </w:r>
      <w:r>
        <w:rPr>
          <w:rFonts w:hint="eastAsia" w:ascii="黑体" w:eastAsia="黑体"/>
          <w:i w:val="0"/>
        </w:rPr>
        <w:t xml:space="preserve">5 </w:t>
      </w:r>
      <w:r>
        <w:rPr>
          <w:rFonts w:hint="eastAsia"/>
        </w:rPr>
        <w:t>人员要求</w:t>
      </w:r>
      <w:r>
        <w:tab/>
      </w:r>
      <w:r>
        <w:fldChar w:fldCharType="begin"/>
      </w:r>
      <w:r>
        <w:instrText xml:space="preserve"> PAGEREF _Toc5737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_Toc2390 </w:instrText>
      </w:r>
      <w:r>
        <w:fldChar w:fldCharType="separate"/>
      </w:r>
      <w:r>
        <w:rPr>
          <w:rFonts w:hint="eastAsia" w:ascii="黑体" w:eastAsia="黑体"/>
          <w:i w:val="0"/>
        </w:rPr>
        <w:t xml:space="preserve">6 </w:t>
      </w:r>
      <w:r>
        <w:rPr>
          <w:rFonts w:hint="eastAsia"/>
        </w:rPr>
        <w:t>评估内容</w:t>
      </w:r>
      <w:r>
        <w:tab/>
      </w:r>
      <w:r>
        <w:fldChar w:fldCharType="begin"/>
      </w:r>
      <w:r>
        <w:instrText xml:space="preserve"> PAGEREF _Toc2390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_Toc18452 </w:instrText>
      </w:r>
      <w:r>
        <w:fldChar w:fldCharType="separate"/>
      </w:r>
      <w:r>
        <w:rPr>
          <w:rFonts w:hint="eastAsia" w:ascii="黑体" w:eastAsia="黑体"/>
          <w:i w:val="0"/>
        </w:rPr>
        <w:t xml:space="preserve">7 </w:t>
      </w:r>
      <w:r>
        <w:rPr>
          <w:rFonts w:hint="eastAsia"/>
        </w:rPr>
        <w:t>服务流程及要求</w:t>
      </w:r>
      <w:r>
        <w:tab/>
      </w:r>
      <w:r>
        <w:fldChar w:fldCharType="begin"/>
      </w:r>
      <w:r>
        <w:instrText xml:space="preserve"> PAGEREF _Toc18452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_Toc1143 </w:instrText>
      </w:r>
      <w:r>
        <w:fldChar w:fldCharType="separate"/>
      </w:r>
      <w:r>
        <w:rPr>
          <w:rFonts w:hint="eastAsia" w:ascii="黑体" w:eastAsia="黑体"/>
          <w:i w:val="0"/>
        </w:rPr>
        <w:t xml:space="preserve">8 </w:t>
      </w:r>
      <w:r>
        <w:rPr>
          <w:rFonts w:hint="eastAsia"/>
        </w:rPr>
        <w:t>服务评价与持续改进</w:t>
      </w:r>
      <w:r>
        <w:tab/>
      </w:r>
      <w:r>
        <w:fldChar w:fldCharType="begin"/>
      </w:r>
      <w:r>
        <w:instrText xml:space="preserve"> PAGEREF _Toc1143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_Toc26598 </w:instrText>
      </w:r>
      <w:r>
        <w:fldChar w:fldCharType="separate"/>
      </w:r>
      <w:r>
        <w:rPr>
          <w:rFonts w:hint="eastAsia"/>
          <w:lang w:eastAsia="zh-CN"/>
        </w:rPr>
        <w:t>附录</w:t>
      </w:r>
      <w:r>
        <w:rPr>
          <w:rFonts w:hint="eastAsia"/>
          <w:lang w:val="en-US" w:eastAsia="zh-CN"/>
        </w:rPr>
        <w:t>A</w:t>
      </w:r>
      <w:r>
        <w:rPr>
          <w:rFonts w:hint="eastAsia"/>
        </w:rPr>
        <w:t>（规范性</w:t>
      </w:r>
      <w:r>
        <w:rPr>
          <w:rFonts w:hint="eastAsia"/>
          <w:lang w:eastAsia="zh-CN"/>
        </w:rPr>
        <w:t>）</w:t>
      </w:r>
      <w:r>
        <w:rPr>
          <w:rFonts w:hint="eastAsia"/>
        </w:rPr>
        <w:t>吸毒成瘾认定报告</w:t>
      </w:r>
      <w:r>
        <w:tab/>
      </w:r>
      <w:r>
        <w:fldChar w:fldCharType="begin"/>
      </w:r>
      <w:r>
        <w:instrText xml:space="preserve"> PAGEREF _Toc26598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_Toc11398 </w:instrText>
      </w:r>
      <w:r>
        <w:fldChar w:fldCharType="separate"/>
      </w:r>
      <w:r>
        <w:rPr>
          <w:rFonts w:hint="eastAsia"/>
          <w:spacing w:val="105"/>
        </w:rPr>
        <w:t>参考文</w:t>
      </w:r>
      <w:r>
        <w:rPr>
          <w:rFonts w:hint="eastAsia"/>
        </w:rPr>
        <w:t>献</w:t>
      </w:r>
      <w:r>
        <w:tab/>
      </w:r>
      <w:r>
        <w:fldChar w:fldCharType="begin"/>
      </w:r>
      <w:r>
        <w:instrText xml:space="preserve"> PAGEREF _Toc11398 \h </w:instrText>
      </w:r>
      <w:r>
        <w:fldChar w:fldCharType="separate"/>
      </w:r>
      <w:r>
        <w:t>6</w:t>
      </w:r>
      <w:r>
        <w:fldChar w:fldCharType="end"/>
      </w:r>
      <w:r>
        <w:fldChar w:fldCharType="end"/>
      </w:r>
    </w:p>
    <w:p>
      <w:pPr>
        <w:pStyle w:val="94"/>
        <w:spacing w:after="468"/>
        <w:sectPr>
          <w:headerReference r:id="rId10" w:type="default"/>
          <w:footerReference r:id="rId12" w:type="default"/>
          <w:headerReference r:id="rId11" w:type="even"/>
          <w:footerReference r:id="rId13"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8"/>
    <w:p>
      <w:pPr>
        <w:pStyle w:val="92"/>
        <w:spacing w:after="468"/>
      </w:pPr>
      <w:bookmarkStart w:id="20" w:name="_Toc91490323"/>
      <w:bookmarkStart w:id="21" w:name="_Toc15493"/>
      <w:bookmarkStart w:id="22" w:name="_Toc15514"/>
      <w:bookmarkStart w:id="23" w:name="_Toc21171"/>
      <w:bookmarkStart w:id="24" w:name="BookMark2"/>
      <w:r>
        <w:rPr>
          <w:spacing w:val="320"/>
        </w:rPr>
        <w:t>前</w:t>
      </w:r>
      <w:r>
        <w:t>言</w:t>
      </w:r>
      <w:bookmarkEnd w:id="19"/>
      <w:bookmarkEnd w:id="20"/>
      <w:bookmarkEnd w:id="21"/>
      <w:bookmarkEnd w:id="22"/>
      <w:bookmarkEnd w:id="23"/>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本文件由上海市卫生健康委员会、上海市禁毒委员会办公室提出并组织实施。</w:t>
      </w:r>
    </w:p>
    <w:p>
      <w:pPr>
        <w:pStyle w:val="59"/>
        <w:ind w:firstLine="420"/>
      </w:pPr>
      <w:r>
        <w:rPr>
          <w:rFonts w:hint="eastAsia"/>
        </w:rPr>
        <w:t>本文件由上海市医疗服务标准化技术委员会归口。</w:t>
      </w:r>
    </w:p>
    <w:p>
      <w:pPr>
        <w:pStyle w:val="59"/>
        <w:ind w:firstLine="420"/>
      </w:pPr>
      <w:r>
        <w:rPr>
          <w:rFonts w:hint="eastAsia"/>
        </w:rPr>
        <w:t>本文件起草单位：上海市精神卫生中心、上海市禁毒委员会办公室、中国药物滥用防治协会。</w:t>
      </w:r>
    </w:p>
    <w:p>
      <w:pPr>
        <w:pStyle w:val="59"/>
        <w:ind w:firstLine="420"/>
      </w:pPr>
      <w:r>
        <w:rPr>
          <w:rFonts w:hint="eastAsia"/>
        </w:rPr>
        <w:t>本文件主要起草人：赵敏、杜江、江海峰、赵燕、孙海明、龙江、邵阳、郝伟、刘铁桥、</w:t>
      </w:r>
      <w:r>
        <w:rPr>
          <w:rFonts w:hint="eastAsia"/>
          <w:lang w:eastAsia="zh-CN"/>
        </w:rPr>
        <w:t>钟娜、</w:t>
      </w:r>
      <w:r>
        <w:rPr>
          <w:rFonts w:hint="eastAsia"/>
        </w:rPr>
        <w:t>王海红、甘鸿</w:t>
      </w:r>
      <w:r>
        <w:rPr>
          <w:rFonts w:hint="eastAsia"/>
          <w:lang w:eastAsia="zh-CN"/>
        </w:rPr>
        <w:t>、王宝杰、顾华</w:t>
      </w:r>
      <w:r>
        <w:rPr>
          <w:rFonts w:hint="eastAsia"/>
        </w:rPr>
        <w:t>。</w:t>
      </w:r>
    </w:p>
    <w:p>
      <w:pPr>
        <w:pStyle w:val="59"/>
        <w:ind w:firstLine="420"/>
      </w:pPr>
    </w:p>
    <w:p>
      <w:pPr>
        <w:pStyle w:val="59"/>
        <w:ind w:firstLine="420"/>
        <w:sectPr>
          <w:headerReference r:id="rId14" w:type="default"/>
          <w:footerReference r:id="rId16" w:type="default"/>
          <w:headerReference r:id="rId15" w:type="even"/>
          <w:footerReference r:id="rId17" w:type="even"/>
          <w:pgSz w:w="11906" w:h="16838"/>
          <w:pgMar w:top="2410"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7F83414756FB4A63A18B533DF017889E"/>
        </w:placeholder>
      </w:sdtPr>
      <w:sdtContent>
        <w:p>
          <w:pPr>
            <w:pStyle w:val="180"/>
            <w:spacing w:before="3" w:beforeLines="1" w:after="686" w:afterLines="220"/>
          </w:pPr>
          <w:bookmarkStart w:id="26" w:name="NEW_STAND_NAME"/>
          <w:r>
            <w:rPr>
              <w:rFonts w:hint="eastAsia"/>
            </w:rPr>
            <w:t>戒毒医疗机构吸毒成瘾认定服务规范</w:t>
          </w:r>
        </w:p>
      </w:sdtContent>
    </w:sdt>
    <w:bookmarkEnd w:id="26"/>
    <w:p>
      <w:pPr>
        <w:pStyle w:val="107"/>
        <w:spacing w:before="312" w:after="312"/>
      </w:pPr>
      <w:bookmarkStart w:id="27" w:name="_Toc26986771"/>
      <w:bookmarkStart w:id="28" w:name="_Toc26648465"/>
      <w:bookmarkStart w:id="29" w:name="_Toc26986530"/>
      <w:bookmarkStart w:id="30" w:name="_Toc17233325"/>
      <w:bookmarkStart w:id="31" w:name="_Toc91489705"/>
      <w:bookmarkStart w:id="32" w:name="_Toc26718930"/>
      <w:bookmarkStart w:id="33" w:name="_Toc24884211"/>
      <w:bookmarkStart w:id="34" w:name="_Toc91490324"/>
      <w:bookmarkStart w:id="35" w:name="_Toc24884218"/>
      <w:bookmarkStart w:id="36" w:name="_Toc17233333"/>
      <w:bookmarkStart w:id="37" w:name="_Toc22599"/>
      <w:bookmarkStart w:id="38" w:name="_Toc24685"/>
      <w:bookmarkStart w:id="39" w:name="_Toc22763"/>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pPr>
        <w:pStyle w:val="59"/>
        <w:ind w:firstLine="420"/>
      </w:pPr>
      <w:bookmarkStart w:id="40" w:name="_Toc24884212"/>
      <w:bookmarkStart w:id="41" w:name="_Toc17233326"/>
      <w:bookmarkStart w:id="42" w:name="_Toc17233334"/>
      <w:bookmarkStart w:id="43" w:name="_Toc26648466"/>
      <w:bookmarkStart w:id="44" w:name="_Toc24884219"/>
      <w:r>
        <w:rPr>
          <w:rFonts w:hint="eastAsia"/>
        </w:rPr>
        <w:t>本文件规定了戒毒医疗机构吸毒成瘾认定服务的一般要求、机构要求、人员要求、评估内容、服务流程及要求和服务评价与持续改进等内容。</w:t>
      </w:r>
    </w:p>
    <w:p>
      <w:pPr>
        <w:pStyle w:val="59"/>
        <w:ind w:firstLine="420"/>
      </w:pPr>
      <w:r>
        <w:rPr>
          <w:rFonts w:hint="eastAsia"/>
        </w:rPr>
        <w:t>本文件适用于上海市开展吸毒成瘾认定服务的戒毒医疗机构。</w:t>
      </w:r>
    </w:p>
    <w:p>
      <w:pPr>
        <w:pStyle w:val="107"/>
        <w:spacing w:before="312" w:after="312"/>
      </w:pPr>
      <w:bookmarkStart w:id="45" w:name="_Toc26986531"/>
      <w:bookmarkStart w:id="46" w:name="_Toc91490325"/>
      <w:bookmarkStart w:id="47" w:name="_Toc26986772"/>
      <w:bookmarkStart w:id="48" w:name="_Toc91489706"/>
      <w:bookmarkStart w:id="49" w:name="_Toc26718931"/>
      <w:bookmarkStart w:id="50" w:name="_Toc783"/>
      <w:bookmarkStart w:id="51" w:name="_Toc1535"/>
      <w:bookmarkStart w:id="52" w:name="_Toc24526"/>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1055C72E628B4833B55E9304530C41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本文件没有规范性引用文件。</w:t>
          </w:r>
        </w:p>
      </w:sdtContent>
    </w:sdt>
    <w:p>
      <w:pPr>
        <w:pStyle w:val="107"/>
        <w:spacing w:before="312" w:after="312"/>
      </w:pPr>
      <w:bookmarkStart w:id="53" w:name="_Toc91490326"/>
      <w:bookmarkStart w:id="54" w:name="_Toc91489707"/>
      <w:bookmarkStart w:id="55" w:name="_Toc6465"/>
      <w:bookmarkStart w:id="56" w:name="_Toc24724"/>
      <w:bookmarkStart w:id="57" w:name="_Toc11891"/>
      <w:r>
        <w:rPr>
          <w:rFonts w:hint="eastAsia"/>
          <w:szCs w:val="21"/>
        </w:rPr>
        <w:t>术语和定义</w:t>
      </w:r>
      <w:bookmarkEnd w:id="53"/>
      <w:bookmarkEnd w:id="54"/>
      <w:bookmarkEnd w:id="55"/>
      <w:bookmarkEnd w:id="56"/>
      <w:bookmarkEnd w:id="57"/>
    </w:p>
    <w:sdt>
      <w:sdtPr>
        <w:id w:val="-1909835108"/>
        <w:placeholder>
          <w:docPart w:val="A0EE47D45A2D4A09BF01281F408190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rPr>
              <w:rFonts w:ascii="黑体" w:hAnsi="黑体" w:eastAsia="黑体"/>
            </w:rPr>
          </w:pPr>
          <w:bookmarkStart w:id="58" w:name="_Toc26986532"/>
          <w:bookmarkEnd w:id="58"/>
          <w:r>
            <w:t>下列术语和定义适用于本文件。</w:t>
          </w:r>
        </w:p>
      </w:sdtContent>
    </w:sdt>
    <w:p>
      <w:pPr>
        <w:pStyle w:val="226"/>
        <w:ind w:left="420" w:hanging="420" w:hangingChars="200"/>
        <w:rPr>
          <w:rFonts w:ascii="黑体" w:hAnsi="黑体" w:eastAsia="黑体"/>
        </w:rPr>
      </w:pPr>
      <w:r>
        <w:rPr>
          <w:rFonts w:hint="eastAsia" w:ascii="黑体" w:hAnsi="黑体" w:eastAsia="黑体"/>
        </w:rPr>
        <w:t xml:space="preserve">吸毒成瘾 </w:t>
      </w:r>
      <w:r>
        <w:rPr>
          <w:rFonts w:ascii="黑体" w:hAnsi="黑体" w:eastAsia="黑体"/>
        </w:rPr>
        <w:t xml:space="preserve"> </w:t>
      </w:r>
      <w:r>
        <w:rPr>
          <w:rFonts w:hint="eastAsia" w:ascii="黑体" w:hAnsi="黑体" w:eastAsia="黑体"/>
        </w:rPr>
        <w:t>Drug addiction</w:t>
      </w:r>
    </w:p>
    <w:p>
      <w:pPr>
        <w:pStyle w:val="59"/>
        <w:ind w:firstLine="420"/>
        <w:rPr>
          <w:rFonts w:ascii="黑体" w:hAnsi="黑体" w:eastAsia="黑体"/>
        </w:rPr>
      </w:pPr>
      <w:r>
        <w:rPr>
          <w:rFonts w:hint="eastAsia"/>
        </w:rPr>
        <w:t>吸毒人员因反复使用毒品而导致的慢性复发性脑病。</w:t>
      </w:r>
    </w:p>
    <w:p>
      <w:pPr>
        <w:pStyle w:val="226"/>
        <w:ind w:left="420" w:hanging="420" w:hangingChars="200"/>
        <w:rPr>
          <w:rFonts w:ascii="黑体" w:hAnsi="黑体" w:eastAsia="黑体"/>
        </w:rPr>
      </w:pPr>
      <w:r>
        <w:rPr>
          <w:rFonts w:hint="eastAsia" w:ascii="黑体" w:hAnsi="黑体" w:eastAsia="黑体"/>
        </w:rPr>
        <w:t>戒毒医疗机构</w:t>
      </w:r>
      <w:r>
        <w:rPr>
          <w:rFonts w:ascii="黑体" w:hAnsi="黑体" w:eastAsia="黑体"/>
        </w:rPr>
        <w:t xml:space="preserve">  </w:t>
      </w:r>
      <w:r>
        <w:rPr>
          <w:rFonts w:hint="eastAsia" w:ascii="黑体" w:hAnsi="黑体" w:eastAsia="黑体"/>
        </w:rPr>
        <w:t xml:space="preserve">Medical </w:t>
      </w:r>
      <w:r>
        <w:rPr>
          <w:rFonts w:ascii="黑体" w:hAnsi="黑体" w:eastAsia="黑体"/>
        </w:rPr>
        <w:t>i</w:t>
      </w:r>
      <w:r>
        <w:rPr>
          <w:rFonts w:hint="eastAsia" w:ascii="黑体" w:hAnsi="黑体" w:eastAsia="黑体"/>
        </w:rPr>
        <w:t xml:space="preserve">nstitutions for </w:t>
      </w:r>
      <w:r>
        <w:rPr>
          <w:rFonts w:ascii="黑体" w:hAnsi="黑体" w:eastAsia="黑体"/>
        </w:rPr>
        <w:t>d</w:t>
      </w:r>
      <w:r>
        <w:rPr>
          <w:rFonts w:hint="eastAsia" w:ascii="黑体" w:hAnsi="黑体" w:eastAsia="黑体"/>
        </w:rPr>
        <w:t xml:space="preserve">rug </w:t>
      </w:r>
      <w:r>
        <w:rPr>
          <w:rFonts w:ascii="黑体" w:hAnsi="黑体" w:eastAsia="黑体"/>
        </w:rPr>
        <w:t>addiction treatment</w:t>
      </w:r>
    </w:p>
    <w:p>
      <w:pPr>
        <w:pStyle w:val="59"/>
        <w:ind w:firstLine="420"/>
      </w:pPr>
      <w:r>
        <w:rPr>
          <w:rFonts w:hint="eastAsia"/>
        </w:rPr>
        <w:t>经省级人民政府卫生</w:t>
      </w:r>
      <w:r>
        <w:rPr>
          <w:rFonts w:hint="eastAsia"/>
          <w:lang w:eastAsia="zh-CN"/>
        </w:rPr>
        <w:t>健康</w:t>
      </w:r>
      <w:r>
        <w:rPr>
          <w:rFonts w:hint="eastAsia"/>
        </w:rPr>
        <w:t>行政部门批准从事戒毒医疗服务的戒毒医院或设有戒毒治疗科的其他医疗机构。</w:t>
      </w:r>
    </w:p>
    <w:p>
      <w:pPr>
        <w:pStyle w:val="107"/>
        <w:spacing w:before="312" w:after="312"/>
      </w:pPr>
      <w:bookmarkStart w:id="59" w:name="_Toc91489709"/>
      <w:bookmarkStart w:id="60" w:name="_Toc80969226"/>
      <w:bookmarkStart w:id="61" w:name="_Toc80901614"/>
      <w:bookmarkStart w:id="62" w:name="_Toc91490328"/>
      <w:bookmarkStart w:id="63" w:name="_Toc80902970"/>
      <w:bookmarkStart w:id="64" w:name="_Toc80980387"/>
      <w:bookmarkStart w:id="65" w:name="_Toc8443"/>
      <w:bookmarkStart w:id="66" w:name="_Toc13225"/>
      <w:bookmarkStart w:id="67" w:name="_Toc18633"/>
      <w:r>
        <w:rPr>
          <w:rFonts w:hint="eastAsia"/>
        </w:rPr>
        <w:t>机构要求</w:t>
      </w:r>
      <w:bookmarkEnd w:id="59"/>
      <w:bookmarkEnd w:id="60"/>
      <w:bookmarkEnd w:id="61"/>
      <w:bookmarkEnd w:id="62"/>
      <w:bookmarkEnd w:id="63"/>
      <w:bookmarkEnd w:id="64"/>
      <w:bookmarkEnd w:id="65"/>
      <w:bookmarkEnd w:id="66"/>
      <w:bookmarkEnd w:id="67"/>
    </w:p>
    <w:p>
      <w:pPr>
        <w:pStyle w:val="165"/>
      </w:pPr>
      <w:r>
        <w:rPr>
          <w:rFonts w:hint="eastAsia"/>
        </w:rPr>
        <w:t>从事吸毒成瘾认定服务的医疗机构诊疗科目中应具有药物依赖相关科目。</w:t>
      </w:r>
    </w:p>
    <w:p>
      <w:pPr>
        <w:pStyle w:val="165"/>
      </w:pPr>
      <w:r>
        <w:rPr>
          <w:rFonts w:hint="eastAsia"/>
        </w:rPr>
        <w:t>应具有治疗药物滥用或药物依赖相关患者的专业能力。</w:t>
      </w:r>
    </w:p>
    <w:p>
      <w:pPr>
        <w:pStyle w:val="165"/>
      </w:pPr>
      <w:r>
        <w:rPr>
          <w:rFonts w:hint="eastAsia"/>
        </w:rPr>
        <w:t>应配备体检室、候诊室和认定工作室，各区域应独立且互不影响。</w:t>
      </w:r>
    </w:p>
    <w:p>
      <w:pPr>
        <w:pStyle w:val="107"/>
        <w:spacing w:before="312" w:after="312"/>
      </w:pPr>
      <w:bookmarkStart w:id="68" w:name="_Toc80901615"/>
      <w:bookmarkStart w:id="69" w:name="_Toc91490329"/>
      <w:bookmarkStart w:id="70" w:name="_Toc80980388"/>
      <w:bookmarkStart w:id="71" w:name="_Toc91489710"/>
      <w:bookmarkStart w:id="72" w:name="_Toc80969227"/>
      <w:bookmarkStart w:id="73" w:name="_Toc80902971"/>
      <w:bookmarkStart w:id="74" w:name="_Toc16653"/>
      <w:bookmarkStart w:id="75" w:name="_Toc990"/>
      <w:bookmarkStart w:id="76" w:name="_Toc5737"/>
      <w:r>
        <w:rPr>
          <w:rFonts w:hint="eastAsia"/>
        </w:rPr>
        <w:t>人员要求</w:t>
      </w:r>
      <w:bookmarkEnd w:id="68"/>
      <w:bookmarkEnd w:id="69"/>
      <w:bookmarkEnd w:id="70"/>
      <w:bookmarkEnd w:id="71"/>
      <w:bookmarkEnd w:id="72"/>
      <w:bookmarkEnd w:id="73"/>
      <w:bookmarkEnd w:id="74"/>
      <w:bookmarkEnd w:id="75"/>
      <w:bookmarkEnd w:id="76"/>
    </w:p>
    <w:p>
      <w:pPr>
        <w:pStyle w:val="108"/>
        <w:spacing w:before="156" w:after="156"/>
        <w:rPr>
          <w:rFonts w:ascii="Calibri" w:hAnsi="Calibri" w:eastAsia="宋体"/>
        </w:rPr>
      </w:pPr>
      <w:r>
        <w:rPr>
          <w:rFonts w:hint="eastAsia"/>
        </w:rPr>
        <w:t>基本要求</w:t>
      </w:r>
    </w:p>
    <w:p>
      <w:pPr>
        <w:pStyle w:val="59"/>
        <w:ind w:firstLine="420"/>
      </w:pPr>
      <w:r>
        <w:rPr>
          <w:rFonts w:hint="eastAsia"/>
        </w:rPr>
        <w:t>负责吸毒成瘾认定的医师、护士、协调人员，应每年定期参加吸毒成瘾认定工作理论学习和业务培训，并通过考核取得培训合格证书。</w:t>
      </w:r>
    </w:p>
    <w:p>
      <w:pPr>
        <w:pStyle w:val="108"/>
        <w:spacing w:before="156" w:after="156"/>
        <w:rPr>
          <w:rFonts w:ascii="Calibri" w:hAnsi="Calibri" w:eastAsia="宋体"/>
        </w:rPr>
      </w:pPr>
      <w:r>
        <w:rPr>
          <w:rFonts w:hint="eastAsia"/>
        </w:rPr>
        <w:t>医师</w:t>
      </w:r>
    </w:p>
    <w:p>
      <w:pPr>
        <w:pStyle w:val="168"/>
      </w:pPr>
      <w:r>
        <w:rPr>
          <w:rFonts w:hint="eastAsia"/>
        </w:rPr>
        <w:t>应具有执业医师资格，具备中级及以上专业技术职务任职资格。</w:t>
      </w:r>
    </w:p>
    <w:p>
      <w:pPr>
        <w:pStyle w:val="168"/>
      </w:pPr>
      <w:r>
        <w:rPr>
          <w:rFonts w:hint="eastAsia"/>
        </w:rPr>
        <w:t>执业范围应为精神卫生专业。</w:t>
      </w:r>
    </w:p>
    <w:p>
      <w:pPr>
        <w:pStyle w:val="168"/>
      </w:pPr>
      <w:r>
        <w:rPr>
          <w:rFonts w:hint="eastAsia"/>
        </w:rPr>
        <w:t>应安排不少于2名医师共同承担吸毒成瘾认定工作</w:t>
      </w:r>
    </w:p>
    <w:p>
      <w:pPr>
        <w:pStyle w:val="168"/>
      </w:pPr>
      <w:r>
        <w:rPr>
          <w:rFonts w:hint="eastAsia"/>
        </w:rPr>
        <w:t>应具备不少于</w:t>
      </w:r>
      <w:r>
        <w:t>3</w:t>
      </w:r>
      <w:r>
        <w:rPr>
          <w:rFonts w:hint="eastAsia"/>
        </w:rPr>
        <w:t>年的戒毒医疗服务经验。</w:t>
      </w:r>
    </w:p>
    <w:p>
      <w:pPr>
        <w:pStyle w:val="168"/>
      </w:pPr>
      <w:r>
        <w:rPr>
          <w:rFonts w:hint="eastAsia"/>
        </w:rPr>
        <w:t>应通过吸毒成瘾认定相关理论知识培训和实践操作培训。</w:t>
      </w:r>
    </w:p>
    <w:p>
      <w:pPr>
        <w:pStyle w:val="108"/>
        <w:spacing w:before="156" w:after="156"/>
        <w:rPr>
          <w:rFonts w:ascii="Calibri" w:hAnsi="Calibri" w:eastAsia="宋体"/>
        </w:rPr>
      </w:pPr>
      <w:r>
        <w:rPr>
          <w:rFonts w:hint="eastAsia"/>
        </w:rPr>
        <w:t>护士</w:t>
      </w:r>
    </w:p>
    <w:p>
      <w:pPr>
        <w:pStyle w:val="168"/>
      </w:pPr>
      <w:r>
        <w:rPr>
          <w:rFonts w:hint="eastAsia"/>
        </w:rPr>
        <w:t>应具有护士执业证书。</w:t>
      </w:r>
    </w:p>
    <w:p>
      <w:pPr>
        <w:pStyle w:val="168"/>
      </w:pPr>
      <w:r>
        <w:rPr>
          <w:rFonts w:hint="eastAsia"/>
        </w:rPr>
        <w:t>应接受相关培训，掌握吸毒成瘾认定工作流程。</w:t>
      </w:r>
    </w:p>
    <w:p>
      <w:pPr>
        <w:pStyle w:val="108"/>
        <w:spacing w:before="156" w:after="156"/>
        <w:rPr>
          <w:rFonts w:ascii="Calibri" w:hAnsi="Calibri" w:eastAsia="宋体"/>
        </w:rPr>
      </w:pPr>
      <w:r>
        <w:rPr>
          <w:rFonts w:hint="eastAsia"/>
        </w:rPr>
        <w:t>协调人员</w:t>
      </w:r>
    </w:p>
    <w:p>
      <w:pPr>
        <w:pStyle w:val="168"/>
      </w:pPr>
      <w:r>
        <w:rPr>
          <w:rFonts w:hint="eastAsia"/>
        </w:rPr>
        <w:t>应具备物质成瘾领域3年以上工作经验。</w:t>
      </w:r>
    </w:p>
    <w:p>
      <w:pPr>
        <w:pStyle w:val="168"/>
      </w:pPr>
      <w:r>
        <w:rPr>
          <w:rFonts w:hint="eastAsia"/>
        </w:rPr>
        <w:t>应接受相关培训，掌握吸毒成瘾认定工作流程。</w:t>
      </w:r>
    </w:p>
    <w:p>
      <w:pPr>
        <w:pStyle w:val="107"/>
        <w:spacing w:before="312" w:after="312"/>
      </w:pPr>
      <w:bookmarkStart w:id="77" w:name="_Toc91489711"/>
      <w:bookmarkStart w:id="78" w:name="_Toc91490330"/>
      <w:bookmarkStart w:id="79" w:name="_Toc14470"/>
      <w:bookmarkStart w:id="80" w:name="_Toc8465"/>
      <w:bookmarkStart w:id="81" w:name="_Toc2390"/>
      <w:r>
        <w:rPr>
          <w:rFonts w:hint="eastAsia"/>
        </w:rPr>
        <w:t>评估内容</w:t>
      </w:r>
      <w:bookmarkEnd w:id="77"/>
      <w:bookmarkEnd w:id="78"/>
      <w:bookmarkEnd w:id="79"/>
      <w:bookmarkEnd w:id="80"/>
      <w:bookmarkEnd w:id="81"/>
    </w:p>
    <w:p>
      <w:pPr>
        <w:pStyle w:val="108"/>
        <w:spacing w:before="156" w:after="156"/>
        <w:rPr>
          <w:rFonts w:ascii="Calibri" w:hAnsi="Calibri" w:eastAsia="宋体"/>
        </w:rPr>
      </w:pPr>
      <w:r>
        <w:rPr>
          <w:rFonts w:hint="eastAsia"/>
        </w:rPr>
        <w:t>毒品使用情况调查</w:t>
      </w:r>
    </w:p>
    <w:p>
      <w:pPr>
        <w:pStyle w:val="168"/>
      </w:pPr>
      <w:r>
        <w:rPr>
          <w:rFonts w:hint="eastAsia"/>
        </w:rPr>
        <w:t>应对被认定人进行问诊，了解其毒品使用情况。</w:t>
      </w:r>
    </w:p>
    <w:p>
      <w:pPr>
        <w:pStyle w:val="168"/>
      </w:pPr>
      <w:r>
        <w:rPr>
          <w:rFonts w:hint="eastAsia"/>
        </w:rPr>
        <w:t>问诊应包括以下内容：</w:t>
      </w:r>
    </w:p>
    <w:p>
      <w:pPr>
        <w:pStyle w:val="168"/>
        <w:numPr>
          <w:ilvl w:val="0"/>
          <w:numId w:val="0"/>
        </w:numPr>
      </w:pPr>
      <w:r>
        <w:rPr>
          <w:rFonts w:hint="eastAsia"/>
        </w:rPr>
        <w:t>——毒品使用种类、使用剂量、使用频率；</w:t>
      </w:r>
    </w:p>
    <w:p>
      <w:pPr>
        <w:pStyle w:val="168"/>
        <w:numPr>
          <w:ilvl w:val="0"/>
          <w:numId w:val="0"/>
        </w:numPr>
      </w:pPr>
      <w:r>
        <w:rPr>
          <w:rFonts w:hint="eastAsia"/>
        </w:rPr>
        <w:t>——是否合并多种毒品使用；</w:t>
      </w:r>
    </w:p>
    <w:p>
      <w:pPr>
        <w:pStyle w:val="168"/>
        <w:numPr>
          <w:ilvl w:val="0"/>
          <w:numId w:val="0"/>
        </w:numPr>
      </w:pPr>
      <w:r>
        <w:rPr>
          <w:rFonts w:hint="eastAsia"/>
        </w:rPr>
        <w:t>——是否合并酒精使用、使用后所致精神及躯体感觉；</w:t>
      </w:r>
    </w:p>
    <w:p>
      <w:pPr>
        <w:pStyle w:val="168"/>
        <w:numPr>
          <w:ilvl w:val="0"/>
          <w:numId w:val="0"/>
        </w:numPr>
      </w:pPr>
      <w:r>
        <w:rPr>
          <w:rFonts w:hint="eastAsia"/>
        </w:rPr>
        <w:t>——是否有耐受性、戒断症状；</w:t>
      </w:r>
    </w:p>
    <w:p>
      <w:pPr>
        <w:pStyle w:val="168"/>
        <w:numPr>
          <w:ilvl w:val="0"/>
          <w:numId w:val="0"/>
        </w:numPr>
      </w:pPr>
      <w:r>
        <w:rPr>
          <w:rFonts w:hint="eastAsia"/>
        </w:rPr>
        <w:t>——是否对毒品渴求；</w:t>
      </w:r>
    </w:p>
    <w:p>
      <w:pPr>
        <w:pStyle w:val="168"/>
        <w:numPr>
          <w:ilvl w:val="0"/>
          <w:numId w:val="0"/>
        </w:numPr>
      </w:pPr>
      <w:r>
        <w:rPr>
          <w:rFonts w:hint="eastAsia"/>
        </w:rPr>
        <w:t>——是否导致社会功能受损等不良情况。</w:t>
      </w:r>
    </w:p>
    <w:p>
      <w:pPr>
        <w:pStyle w:val="108"/>
        <w:spacing w:before="156" w:after="156"/>
        <w:rPr>
          <w:rFonts w:ascii="Calibri" w:hAnsi="Calibri" w:eastAsia="宋体"/>
        </w:rPr>
      </w:pPr>
      <w:r>
        <w:rPr>
          <w:rFonts w:hint="eastAsia"/>
        </w:rPr>
        <w:t>精神症状评估</w:t>
      </w:r>
    </w:p>
    <w:p>
      <w:pPr>
        <w:pStyle w:val="168"/>
      </w:pPr>
      <w:r>
        <w:rPr>
          <w:rFonts w:hint="eastAsia"/>
        </w:rPr>
        <w:t>应对被认定人的感觉、知觉、情感、意志行为、自知力等精神状态进行评估。</w:t>
      </w:r>
    </w:p>
    <w:p>
      <w:pPr>
        <w:pStyle w:val="168"/>
      </w:pPr>
      <w:r>
        <w:rPr>
          <w:rFonts w:hint="eastAsia"/>
        </w:rPr>
        <w:t>应评估毒品使用和精神症状出现的先后关系及因果关系。</w:t>
      </w:r>
    </w:p>
    <w:p>
      <w:pPr>
        <w:pStyle w:val="108"/>
        <w:spacing w:before="156" w:after="156"/>
        <w:rPr>
          <w:rFonts w:ascii="Calibri" w:hAnsi="Calibri" w:eastAsia="宋体"/>
        </w:rPr>
      </w:pPr>
      <w:r>
        <w:rPr>
          <w:rFonts w:hint="eastAsia"/>
        </w:rPr>
        <w:t>人体生物样本检测</w:t>
      </w:r>
    </w:p>
    <w:p>
      <w:pPr>
        <w:pStyle w:val="168"/>
      </w:pPr>
      <w:r>
        <w:rPr>
          <w:rFonts w:hint="eastAsia"/>
        </w:rPr>
        <w:t>尿液毒品检测：尿液样本检测结果为阳性，表明被检测人员在尿液样本提取前数小时至数天内摄入过毒品。</w:t>
      </w:r>
    </w:p>
    <w:p>
      <w:pPr>
        <w:pStyle w:val="168"/>
      </w:pPr>
      <w:r>
        <w:rPr>
          <w:rFonts w:hint="eastAsia"/>
        </w:rPr>
        <w:t>毛发毒品检测：发根内的头发样本检测结果为阳性，表明被检测人员在毛发样本提取之日前6个月内摄入过毒品。</w:t>
      </w:r>
    </w:p>
    <w:p>
      <w:pPr>
        <w:pStyle w:val="107"/>
        <w:spacing w:before="312" w:after="312"/>
      </w:pPr>
      <w:bookmarkStart w:id="82" w:name="_Toc80901613"/>
      <w:bookmarkStart w:id="83" w:name="_Toc80969225"/>
      <w:bookmarkStart w:id="84" w:name="_Toc80980386"/>
      <w:bookmarkStart w:id="85" w:name="_Toc80902969"/>
      <w:bookmarkStart w:id="86" w:name="_Toc91489712"/>
      <w:bookmarkStart w:id="87" w:name="_Toc91490331"/>
      <w:bookmarkStart w:id="88" w:name="_Toc4801"/>
      <w:bookmarkStart w:id="89" w:name="_Toc8562"/>
      <w:bookmarkStart w:id="90" w:name="_Toc18452"/>
      <w:r>
        <w:rPr>
          <w:rFonts w:hint="eastAsia"/>
        </w:rPr>
        <w:t>服务流程</w:t>
      </w:r>
      <w:bookmarkEnd w:id="82"/>
      <w:bookmarkEnd w:id="83"/>
      <w:bookmarkEnd w:id="84"/>
      <w:bookmarkEnd w:id="85"/>
      <w:r>
        <w:rPr>
          <w:rFonts w:hint="eastAsia"/>
        </w:rPr>
        <w:t>及要求</w:t>
      </w:r>
      <w:bookmarkEnd w:id="86"/>
      <w:bookmarkEnd w:id="87"/>
      <w:bookmarkEnd w:id="88"/>
      <w:bookmarkEnd w:id="89"/>
      <w:bookmarkEnd w:id="90"/>
    </w:p>
    <w:p>
      <w:pPr>
        <w:pStyle w:val="108"/>
        <w:spacing w:before="156" w:after="156"/>
        <w:rPr>
          <w:rFonts w:ascii="Calibri" w:hAnsi="Calibri" w:eastAsia="宋体"/>
        </w:rPr>
      </w:pPr>
      <w:r>
        <w:rPr>
          <w:rFonts w:hint="eastAsia"/>
        </w:rPr>
        <w:t>基本环节</w:t>
      </w:r>
    </w:p>
    <w:p>
      <w:pPr>
        <w:pStyle w:val="59"/>
        <w:ind w:firstLine="420"/>
      </w:pPr>
      <w:r>
        <w:rPr>
          <w:rFonts w:hint="eastAsia"/>
        </w:rPr>
        <w:t>戒毒医疗机构吸毒成瘾认定服务包括受理预约、体格检查、成瘾认定和环境消毒等环节，流程如图1所示。</w:t>
      </w:r>
    </w:p>
    <w:p>
      <w:pPr>
        <w:pStyle w:val="59"/>
        <w:ind w:firstLine="0" w:firstLineChars="0"/>
        <w:jc w:val="center"/>
      </w:pPr>
      <w:r>
        <w:object>
          <v:shape id="_x0000_i1025" o:spt="75" type="#_x0000_t75" style="height:202.5pt;width:466.5pt;" o:ole="t" filled="f" o:preferrelative="t" stroked="f" coordsize="21600,21600">
            <v:path/>
            <v:fill on="f" focussize="0,0"/>
            <v:stroke on="f" joinstyle="miter"/>
            <v:imagedata r:id="rId33" o:title=""/>
            <o:lock v:ext="edit" aspectratio="t"/>
            <w10:wrap type="none"/>
            <w10:anchorlock/>
          </v:shape>
          <o:OLEObject Type="Embed" ProgID="Visio.Drawing.15" ShapeID="_x0000_i1025" DrawAspect="Content" ObjectID="_1468075725" r:id="rId32">
            <o:LockedField>false</o:LockedField>
          </o:OLEObject>
        </w:object>
      </w:r>
    </w:p>
    <w:p>
      <w:pPr>
        <w:pStyle w:val="117"/>
        <w:spacing w:before="156" w:after="156"/>
      </w:pPr>
      <w:r>
        <w:rPr>
          <w:rFonts w:hint="eastAsia"/>
        </w:rPr>
        <w:t>戒毒医疗机构吸毒成瘾认定服务流程</w:t>
      </w:r>
    </w:p>
    <w:p>
      <w:pPr>
        <w:pStyle w:val="108"/>
        <w:spacing w:before="156" w:after="156"/>
        <w:rPr>
          <w:rFonts w:ascii="Calibri" w:hAnsi="Calibri" w:eastAsia="宋体"/>
        </w:rPr>
      </w:pPr>
      <w:r>
        <w:rPr>
          <w:rFonts w:hint="eastAsia"/>
        </w:rPr>
        <w:t>预约及受理</w:t>
      </w:r>
    </w:p>
    <w:p>
      <w:pPr>
        <w:pStyle w:val="168"/>
      </w:pPr>
      <w:r>
        <w:rPr>
          <w:rFonts w:hint="eastAsia"/>
        </w:rPr>
        <w:t>预约：委托单位通过禁毒信息平台或电话进行吸毒成瘾认定预约。</w:t>
      </w:r>
    </w:p>
    <w:p>
      <w:pPr>
        <w:pStyle w:val="168"/>
      </w:pPr>
      <w:r>
        <w:rPr>
          <w:rFonts w:hint="eastAsia"/>
        </w:rPr>
        <w:t>认定机构受理后应及时安排好相关工作人员接诊认定工作，由协调人员对卷宗材料进行核对，确定无误后引导委托单位进行挂号受理。如果材料欠齐全，则告知委托单位即刻补充材料，或择期预约、认定。</w:t>
      </w:r>
    </w:p>
    <w:p>
      <w:pPr>
        <w:pStyle w:val="168"/>
      </w:pPr>
      <w:r>
        <w:rPr>
          <w:rFonts w:hint="eastAsia"/>
        </w:rPr>
        <w:t>委托单位应提供材料包括：认定委托函、笔录、尿液毒品检测报告、毛发毒品检测报告、既往司法判定文书等文件。</w:t>
      </w:r>
    </w:p>
    <w:p>
      <w:pPr>
        <w:pStyle w:val="108"/>
        <w:spacing w:before="156" w:after="156"/>
      </w:pPr>
      <w:r>
        <w:rPr>
          <w:rFonts w:hint="eastAsia"/>
        </w:rPr>
        <w:t>体格检查</w:t>
      </w:r>
    </w:p>
    <w:p>
      <w:pPr>
        <w:pStyle w:val="59"/>
        <w:ind w:firstLine="420"/>
      </w:pPr>
      <w:r>
        <w:rPr>
          <w:rFonts w:hint="eastAsia"/>
        </w:rPr>
        <w:t>体格检查内容应包括心率、脉搏、呼吸频率、血压、体重、体温。</w:t>
      </w:r>
    </w:p>
    <w:p>
      <w:pPr>
        <w:pStyle w:val="108"/>
        <w:spacing w:before="156" w:after="156"/>
        <w:rPr>
          <w:rFonts w:ascii="Calibri" w:hAnsi="Calibri" w:eastAsia="宋体"/>
          <w:b/>
          <w:bCs/>
        </w:rPr>
      </w:pPr>
      <w:r>
        <w:rPr>
          <w:rFonts w:hint="eastAsia"/>
        </w:rPr>
        <w:t>吸毒成瘾认定</w:t>
      </w:r>
    </w:p>
    <w:p>
      <w:pPr>
        <w:pStyle w:val="168"/>
      </w:pPr>
      <w:r>
        <w:rPr>
          <w:rFonts w:hint="eastAsia"/>
        </w:rPr>
        <w:t>认定人员应阅览卷宗、尿液毒品检测报告、毛发毒品检测报告。</w:t>
      </w:r>
    </w:p>
    <w:p>
      <w:pPr>
        <w:pStyle w:val="168"/>
      </w:pPr>
      <w:r>
        <w:rPr>
          <w:rFonts w:hint="eastAsia"/>
        </w:rPr>
        <w:t>应对被认定人进行问诊，了解其毒品使用情况、精神状况，做好量表评估。</w:t>
      </w:r>
    </w:p>
    <w:p>
      <w:pPr>
        <w:pStyle w:val="168"/>
      </w:pPr>
      <w:r>
        <w:rPr>
          <w:rFonts w:hint="eastAsia"/>
        </w:rPr>
        <w:t>认定人员根据上述检测内容商讨认定结论。</w:t>
      </w:r>
    </w:p>
    <w:p>
      <w:pPr>
        <w:pStyle w:val="168"/>
      </w:pPr>
      <w:r>
        <w:rPr>
          <w:rFonts w:hint="eastAsia"/>
        </w:rPr>
        <w:t>应在2</w:t>
      </w:r>
      <w:r>
        <w:t>4</w:t>
      </w:r>
      <w:r>
        <w:rPr>
          <w:rFonts w:hint="eastAsia"/>
        </w:rPr>
        <w:t xml:space="preserve"> h内完成《吸毒成瘾认定报告》，符合附录A要求，并由2名认定医师签发</w:t>
      </w:r>
      <w:r>
        <w:rPr>
          <w:rFonts w:hint="eastAsia"/>
          <w:lang w:eastAsia="zh-CN"/>
        </w:rPr>
        <w:t>，</w:t>
      </w:r>
      <w:bookmarkStart w:id="117" w:name="_GoBack"/>
      <w:bookmarkEnd w:id="117"/>
      <w:r>
        <w:rPr>
          <w:rFonts w:hint="eastAsia"/>
        </w:rPr>
        <w:t>及时做好材料的归档工作</w:t>
      </w:r>
    </w:p>
    <w:p>
      <w:pPr>
        <w:pStyle w:val="168"/>
      </w:pPr>
      <w:r>
        <w:rPr>
          <w:rFonts w:hint="eastAsia"/>
        </w:rPr>
        <w:t>认定报告应一式两份，并敲盖戒毒医疗机构公章，分别交予委托方与戒毒医疗机构保存。</w:t>
      </w:r>
    </w:p>
    <w:p>
      <w:pPr>
        <w:pStyle w:val="168"/>
      </w:pPr>
      <w:r>
        <w:rPr>
          <w:rFonts w:hint="eastAsia"/>
        </w:rPr>
        <w:t>所有参与吸毒成瘾认定的工作人员应坚持保密原则，不得向与工作无关的任何单位、组织和个人泄露与吸毒成瘾认定相关的任何信息。</w:t>
      </w:r>
    </w:p>
    <w:p>
      <w:pPr>
        <w:pStyle w:val="108"/>
        <w:spacing w:before="156" w:after="156"/>
        <w:rPr>
          <w:rFonts w:ascii="Calibri" w:hAnsi="Calibri" w:eastAsia="宋体"/>
        </w:rPr>
      </w:pPr>
      <w:r>
        <w:rPr>
          <w:rFonts w:hint="eastAsia"/>
        </w:rPr>
        <w:t>环境消毒</w:t>
      </w:r>
    </w:p>
    <w:p>
      <w:pPr>
        <w:pStyle w:val="168"/>
      </w:pPr>
      <w:r>
        <w:rPr>
          <w:rFonts w:hint="eastAsia"/>
        </w:rPr>
        <w:t>应对体检室和候诊室进行全面消毒。</w:t>
      </w:r>
    </w:p>
    <w:p>
      <w:pPr>
        <w:pStyle w:val="168"/>
        <w:rPr>
          <w:b/>
          <w:bCs/>
        </w:rPr>
      </w:pPr>
      <w:r>
        <w:rPr>
          <w:rFonts w:hint="eastAsia"/>
        </w:rPr>
        <w:t>应使用1000</w:t>
      </w:r>
      <w:r>
        <w:t xml:space="preserve"> </w:t>
      </w:r>
      <w:r>
        <w:rPr>
          <w:rFonts w:hint="eastAsia"/>
        </w:rPr>
        <w:t>mg/L有效氯全面擦拭设施设备。</w:t>
      </w:r>
    </w:p>
    <w:p>
      <w:pPr>
        <w:pStyle w:val="168"/>
      </w:pPr>
      <w:r>
        <w:rPr>
          <w:rFonts w:hint="eastAsia"/>
        </w:rPr>
        <w:t>房间环境应通过紫外线消毒方式进行3</w:t>
      </w:r>
      <w:r>
        <w:t>0 min</w:t>
      </w:r>
      <w:r>
        <w:rPr>
          <w:rFonts w:hint="eastAsia"/>
        </w:rPr>
        <w:t>的持续消毒。</w:t>
      </w:r>
    </w:p>
    <w:p>
      <w:pPr>
        <w:pStyle w:val="107"/>
        <w:spacing w:before="312" w:after="312"/>
      </w:pPr>
      <w:bookmarkStart w:id="91" w:name="_Toc91490332"/>
      <w:bookmarkStart w:id="92" w:name="_Toc91489713"/>
      <w:bookmarkStart w:id="93" w:name="_Toc80969228"/>
      <w:bookmarkStart w:id="94" w:name="_Toc80902972"/>
      <w:bookmarkStart w:id="95" w:name="_Toc80980389"/>
      <w:bookmarkStart w:id="96" w:name="_Toc80901616"/>
      <w:bookmarkStart w:id="97" w:name="_Toc11022"/>
      <w:bookmarkStart w:id="98" w:name="_Toc21519"/>
      <w:bookmarkStart w:id="99" w:name="_Toc1143"/>
      <w:r>
        <w:rPr>
          <w:rFonts w:hint="eastAsia"/>
        </w:rPr>
        <w:t>服务评价与持续改进</w:t>
      </w:r>
      <w:bookmarkEnd w:id="91"/>
      <w:bookmarkEnd w:id="92"/>
      <w:bookmarkEnd w:id="93"/>
      <w:bookmarkEnd w:id="94"/>
      <w:bookmarkEnd w:id="95"/>
      <w:bookmarkEnd w:id="96"/>
      <w:bookmarkEnd w:id="97"/>
      <w:bookmarkEnd w:id="98"/>
      <w:bookmarkEnd w:id="99"/>
    </w:p>
    <w:p>
      <w:pPr>
        <w:pStyle w:val="108"/>
        <w:spacing w:before="156" w:after="156"/>
        <w:rPr>
          <w:rFonts w:ascii="Calibri" w:hAnsi="Calibri" w:eastAsia="宋体"/>
        </w:rPr>
      </w:pPr>
      <w:r>
        <w:rPr>
          <w:rFonts w:hint="eastAsia"/>
        </w:rPr>
        <w:t>服务评价</w:t>
      </w:r>
    </w:p>
    <w:p>
      <w:pPr>
        <w:pStyle w:val="168"/>
      </w:pPr>
      <w:r>
        <w:rPr>
          <w:rFonts w:hint="eastAsia"/>
        </w:rPr>
        <w:t>应建立服务监督与评价机制，接受来自委托方的监督和对吸毒成瘾认定服务过程与成效的评价。</w:t>
      </w:r>
    </w:p>
    <w:p>
      <w:pPr>
        <w:pStyle w:val="168"/>
      </w:pPr>
      <w:r>
        <w:rPr>
          <w:rFonts w:hint="eastAsia"/>
        </w:rPr>
        <w:t>戒毒医疗机构应定期对从事吸毒成瘾认定的工作人员开展考核评价，包括但不限于：</w:t>
      </w:r>
    </w:p>
    <w:p>
      <w:pPr>
        <w:pStyle w:val="135"/>
      </w:pPr>
      <w:r>
        <w:rPr>
          <w:rFonts w:hint="eastAsia"/>
        </w:rPr>
        <w:t>服务过程规范性；</w:t>
      </w:r>
    </w:p>
    <w:p>
      <w:pPr>
        <w:pStyle w:val="135"/>
      </w:pPr>
      <w:r>
        <w:rPr>
          <w:rFonts w:hint="eastAsia"/>
        </w:rPr>
        <w:t>吸毒成瘾认定的技术能力；</w:t>
      </w:r>
    </w:p>
    <w:p>
      <w:pPr>
        <w:pStyle w:val="135"/>
      </w:pPr>
      <w:r>
        <w:rPr>
          <w:rFonts w:hint="eastAsia"/>
        </w:rPr>
        <w:t>认定结果的准确度。</w:t>
      </w:r>
    </w:p>
    <w:p>
      <w:pPr>
        <w:pStyle w:val="108"/>
        <w:spacing w:before="156" w:after="156"/>
        <w:rPr>
          <w:rFonts w:ascii="Calibri" w:hAnsi="Calibri"/>
        </w:rPr>
      </w:pPr>
      <w:r>
        <w:rPr>
          <w:rFonts w:hint="eastAsia"/>
        </w:rPr>
        <w:t>持续改进</w:t>
      </w:r>
    </w:p>
    <w:p>
      <w:pPr>
        <w:pStyle w:val="59"/>
        <w:ind w:firstLine="420"/>
      </w:pPr>
      <w:r>
        <w:rPr>
          <w:rFonts w:hint="eastAsia"/>
        </w:rPr>
        <w:t>应参照“P</w:t>
      </w:r>
      <w:r>
        <w:t>DCA</w:t>
      </w:r>
      <w:r>
        <w:rPr>
          <w:rFonts w:hint="eastAsia"/>
        </w:rPr>
        <w:t>”循环，建立服务持续改进机制,根据工作评估结果、委托方反馈等信息，持续改进吸毒成瘾认定服务工作水平。</w:t>
      </w:r>
    </w:p>
    <w:p>
      <w:pPr>
        <w:pStyle w:val="59"/>
        <w:ind w:firstLine="420"/>
      </w:pPr>
    </w:p>
    <w:p>
      <w:pPr>
        <w:pStyle w:val="59"/>
        <w:ind w:firstLine="420"/>
      </w:pPr>
    </w:p>
    <w:p>
      <w:pPr>
        <w:pStyle w:val="59"/>
        <w:ind w:firstLine="420"/>
      </w:pPr>
    </w:p>
    <w:p>
      <w:pPr>
        <w:pStyle w:val="59"/>
        <w:ind w:firstLine="420"/>
        <w:sectPr>
          <w:headerReference r:id="rId18" w:type="default"/>
          <w:footerReference r:id="rId20" w:type="default"/>
          <w:headerReference r:id="rId19" w:type="even"/>
          <w:footerReference r:id="rId21" w:type="even"/>
          <w:pgSz w:w="11906" w:h="16838"/>
          <w:pgMar w:top="2410" w:right="1134" w:bottom="1134" w:left="1134" w:header="1418" w:footer="1134" w:gutter="284"/>
          <w:pgNumType w:start="1"/>
          <w:cols w:space="425" w:num="1"/>
          <w:formProt w:val="0"/>
          <w:docGrid w:type="lines" w:linePitch="312" w:charSpace="0"/>
        </w:sectPr>
      </w:pPr>
    </w:p>
    <w:bookmarkEnd w:id="25"/>
    <w:p>
      <w:pPr>
        <w:pStyle w:val="201"/>
        <w:rPr>
          <w:vanish w:val="0"/>
        </w:rPr>
      </w:pPr>
      <w:bookmarkStart w:id="100" w:name="BookMark5"/>
    </w:p>
    <w:p>
      <w:pPr>
        <w:pStyle w:val="202"/>
        <w:rPr>
          <w:vanish w:val="0"/>
        </w:rPr>
      </w:pPr>
    </w:p>
    <w:p>
      <w:pPr>
        <w:pStyle w:val="79"/>
        <w:numPr>
          <w:ilvl w:val="-1"/>
          <w:numId w:val="0"/>
        </w:numPr>
        <w:spacing w:before="78" w:after="156"/>
      </w:pPr>
      <w:bookmarkStart w:id="101" w:name="_Toc29274"/>
      <w:bookmarkEnd w:id="101"/>
      <w:bookmarkStart w:id="102" w:name="_Toc11757"/>
      <w:bookmarkStart w:id="103" w:name="_Toc91489714"/>
      <w:bookmarkStart w:id="104" w:name="_Toc91490333"/>
      <w:bookmarkStart w:id="105" w:name="_Toc26598"/>
      <w:r>
        <w:rPr>
          <w:rFonts w:hint="eastAsia"/>
          <w:lang w:eastAsia="zh-CN"/>
        </w:rPr>
        <w:t>附录</w:t>
      </w:r>
      <w:r>
        <w:rPr>
          <w:rFonts w:hint="eastAsia"/>
          <w:lang w:val="en-US" w:eastAsia="zh-CN"/>
        </w:rPr>
        <w:t>A</w:t>
      </w:r>
      <w:bookmarkEnd w:id="102"/>
      <w:bookmarkStart w:id="106" w:name="_Toc7248"/>
      <w:bookmarkStart w:id="107" w:name="_Toc25702"/>
      <w:r>
        <w:rPr>
          <w:rFonts w:hint="eastAsia"/>
        </w:rPr>
        <w:t>（规范性</w:t>
      </w:r>
      <w:r>
        <w:rPr>
          <w:rFonts w:hint="eastAsia"/>
          <w:lang w:eastAsia="zh-CN"/>
        </w:rPr>
        <w:t>）</w:t>
      </w:r>
      <w:bookmarkEnd w:id="106"/>
      <w:bookmarkEnd w:id="107"/>
      <w:bookmarkStart w:id="108" w:name="_Toc19850"/>
      <w:bookmarkStart w:id="109" w:name="_Toc26932"/>
      <w:r>
        <w:rPr>
          <w:rFonts w:hint="eastAsia"/>
        </w:rPr>
        <w:t>吸毒成瘾认定报告</w:t>
      </w:r>
      <w:bookmarkEnd w:id="103"/>
      <w:bookmarkEnd w:id="104"/>
      <w:bookmarkEnd w:id="105"/>
      <w:bookmarkEnd w:id="108"/>
      <w:bookmarkEnd w:id="109"/>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66"/>
        <w:gridCol w:w="1166"/>
        <w:gridCol w:w="1167"/>
        <w:gridCol w:w="1167"/>
        <w:gridCol w:w="1167"/>
        <w:gridCol w:w="1167"/>
        <w:gridCol w:w="1167"/>
        <w:gridCol w:w="1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166" w:type="dxa"/>
            <w:tcBorders>
              <w:top w:val="single" w:color="auto" w:sz="8" w:space="0"/>
              <w:bottom w:val="single" w:color="auto" w:sz="8" w:space="0"/>
            </w:tcBorders>
            <w:shd w:val="clear" w:color="auto" w:fill="auto"/>
            <w:vAlign w:val="center"/>
          </w:tcPr>
          <w:p>
            <w:pPr>
              <w:pStyle w:val="181"/>
              <w:snapToGrid w:val="0"/>
              <w:textAlignment w:val="baseline"/>
              <w:rPr>
                <w:rFonts w:hAnsi="宋体"/>
                <w:b/>
                <w:bCs/>
                <w:szCs w:val="18"/>
              </w:rPr>
            </w:pPr>
            <w:r>
              <w:rPr>
                <w:rFonts w:hint="eastAsia" w:hAnsi="宋体"/>
                <w:b/>
                <w:bCs/>
                <w:szCs w:val="18"/>
              </w:rPr>
              <w:t>姓名</w:t>
            </w:r>
          </w:p>
        </w:tc>
        <w:tc>
          <w:tcPr>
            <w:tcW w:w="1166" w:type="dxa"/>
            <w:tcBorders>
              <w:top w:val="single" w:color="auto" w:sz="8" w:space="0"/>
              <w:bottom w:val="single" w:color="auto" w:sz="8" w:space="0"/>
            </w:tcBorders>
            <w:shd w:val="clear" w:color="auto" w:fill="auto"/>
            <w:vAlign w:val="center"/>
          </w:tcPr>
          <w:p>
            <w:pPr>
              <w:pStyle w:val="181"/>
              <w:snapToGrid w:val="0"/>
              <w:textAlignment w:val="baseline"/>
              <w:rPr>
                <w:rFonts w:hAnsi="宋体"/>
                <w:szCs w:val="18"/>
              </w:rPr>
            </w:pPr>
          </w:p>
        </w:tc>
        <w:tc>
          <w:tcPr>
            <w:tcW w:w="1167" w:type="dxa"/>
            <w:tcBorders>
              <w:top w:val="single" w:color="auto" w:sz="8" w:space="0"/>
              <w:bottom w:val="single" w:color="auto" w:sz="8" w:space="0"/>
            </w:tcBorders>
            <w:shd w:val="clear" w:color="auto" w:fill="auto"/>
            <w:vAlign w:val="center"/>
          </w:tcPr>
          <w:p>
            <w:pPr>
              <w:pStyle w:val="181"/>
              <w:snapToGrid w:val="0"/>
              <w:textAlignment w:val="baseline"/>
              <w:rPr>
                <w:rFonts w:hAnsi="宋体"/>
                <w:b/>
                <w:bCs/>
                <w:szCs w:val="18"/>
              </w:rPr>
            </w:pPr>
            <w:r>
              <w:rPr>
                <w:rFonts w:hint="eastAsia" w:hAnsi="宋体"/>
                <w:b/>
                <w:bCs/>
                <w:szCs w:val="18"/>
              </w:rPr>
              <w:t>性别</w:t>
            </w:r>
          </w:p>
        </w:tc>
        <w:tc>
          <w:tcPr>
            <w:tcW w:w="1167" w:type="dxa"/>
            <w:tcBorders>
              <w:top w:val="single" w:color="auto" w:sz="8" w:space="0"/>
              <w:bottom w:val="single" w:color="auto" w:sz="8" w:space="0"/>
            </w:tcBorders>
            <w:shd w:val="clear" w:color="auto" w:fill="auto"/>
            <w:vAlign w:val="center"/>
          </w:tcPr>
          <w:p>
            <w:pPr>
              <w:pStyle w:val="181"/>
              <w:snapToGrid w:val="0"/>
              <w:textAlignment w:val="baseline"/>
              <w:rPr>
                <w:rFonts w:hAnsi="宋体"/>
                <w:szCs w:val="18"/>
              </w:rPr>
            </w:pPr>
          </w:p>
        </w:tc>
        <w:tc>
          <w:tcPr>
            <w:tcW w:w="1167" w:type="dxa"/>
            <w:tcBorders>
              <w:top w:val="single" w:color="auto" w:sz="8" w:space="0"/>
              <w:bottom w:val="single" w:color="auto" w:sz="8" w:space="0"/>
            </w:tcBorders>
            <w:shd w:val="clear" w:color="auto" w:fill="auto"/>
            <w:vAlign w:val="center"/>
          </w:tcPr>
          <w:p>
            <w:pPr>
              <w:pStyle w:val="181"/>
              <w:snapToGrid w:val="0"/>
              <w:textAlignment w:val="baseline"/>
              <w:rPr>
                <w:rFonts w:hAnsi="宋体"/>
                <w:b/>
                <w:bCs/>
                <w:szCs w:val="18"/>
              </w:rPr>
            </w:pPr>
            <w:r>
              <w:rPr>
                <w:rFonts w:hint="eastAsia" w:hAnsi="宋体"/>
                <w:b/>
                <w:bCs/>
                <w:szCs w:val="18"/>
              </w:rPr>
              <w:t>年龄</w:t>
            </w:r>
          </w:p>
        </w:tc>
        <w:tc>
          <w:tcPr>
            <w:tcW w:w="1167" w:type="dxa"/>
            <w:tcBorders>
              <w:top w:val="single" w:color="auto" w:sz="8" w:space="0"/>
              <w:bottom w:val="single" w:color="auto" w:sz="8" w:space="0"/>
            </w:tcBorders>
            <w:shd w:val="clear" w:color="auto" w:fill="auto"/>
            <w:vAlign w:val="center"/>
          </w:tcPr>
          <w:p>
            <w:pPr>
              <w:pStyle w:val="181"/>
              <w:snapToGrid w:val="0"/>
              <w:textAlignment w:val="baseline"/>
              <w:rPr>
                <w:rFonts w:hAnsi="宋体"/>
                <w:szCs w:val="18"/>
              </w:rPr>
            </w:pPr>
          </w:p>
        </w:tc>
        <w:tc>
          <w:tcPr>
            <w:tcW w:w="1167" w:type="dxa"/>
            <w:tcBorders>
              <w:top w:val="single" w:color="auto" w:sz="8" w:space="0"/>
              <w:bottom w:val="single" w:color="auto" w:sz="8" w:space="0"/>
            </w:tcBorders>
            <w:shd w:val="clear" w:color="auto" w:fill="auto"/>
            <w:vAlign w:val="center"/>
          </w:tcPr>
          <w:p>
            <w:pPr>
              <w:pStyle w:val="181"/>
              <w:snapToGrid w:val="0"/>
              <w:textAlignment w:val="baseline"/>
              <w:rPr>
                <w:rFonts w:hAnsi="宋体"/>
                <w:b/>
                <w:bCs/>
                <w:szCs w:val="18"/>
              </w:rPr>
            </w:pPr>
            <w:r>
              <w:rPr>
                <w:rFonts w:hint="eastAsia" w:hAnsi="宋体"/>
                <w:b/>
                <w:bCs/>
                <w:szCs w:val="18"/>
              </w:rPr>
              <w:t>民族</w:t>
            </w:r>
          </w:p>
        </w:tc>
        <w:tc>
          <w:tcPr>
            <w:tcW w:w="1167" w:type="dxa"/>
            <w:tcBorders>
              <w:top w:val="single" w:color="auto" w:sz="8" w:space="0"/>
              <w:bottom w:val="single" w:color="auto" w:sz="8" w:space="0"/>
            </w:tcBorders>
            <w:shd w:val="clear" w:color="auto" w:fill="auto"/>
            <w:vAlign w:val="center"/>
          </w:tcPr>
          <w:p>
            <w:pPr>
              <w:pStyle w:val="181"/>
              <w:snapToGrid w:val="0"/>
              <w:textAlignment w:val="baseline"/>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66" w:type="dxa"/>
            <w:tcBorders>
              <w:top w:val="single" w:color="auto" w:sz="8" w:space="0"/>
            </w:tcBorders>
            <w:shd w:val="clear" w:color="auto" w:fill="auto"/>
            <w:vAlign w:val="center"/>
          </w:tcPr>
          <w:p>
            <w:pPr>
              <w:pStyle w:val="181"/>
              <w:snapToGrid w:val="0"/>
              <w:textAlignment w:val="baseline"/>
              <w:rPr>
                <w:rFonts w:hAnsi="宋体"/>
                <w:b/>
                <w:bCs/>
                <w:szCs w:val="18"/>
              </w:rPr>
            </w:pPr>
            <w:r>
              <w:rPr>
                <w:rFonts w:hint="eastAsia" w:hAnsi="宋体"/>
                <w:b/>
                <w:bCs/>
                <w:szCs w:val="18"/>
              </w:rPr>
              <w:t>职业</w:t>
            </w:r>
          </w:p>
        </w:tc>
        <w:tc>
          <w:tcPr>
            <w:tcW w:w="1166" w:type="dxa"/>
            <w:tcBorders>
              <w:top w:val="single" w:color="auto" w:sz="8" w:space="0"/>
            </w:tcBorders>
            <w:shd w:val="clear" w:color="auto" w:fill="auto"/>
            <w:vAlign w:val="center"/>
          </w:tcPr>
          <w:p>
            <w:pPr>
              <w:pStyle w:val="181"/>
              <w:snapToGrid w:val="0"/>
              <w:textAlignment w:val="baseline"/>
              <w:rPr>
                <w:rFonts w:hAnsi="宋体"/>
                <w:szCs w:val="18"/>
              </w:rPr>
            </w:pPr>
          </w:p>
        </w:tc>
        <w:tc>
          <w:tcPr>
            <w:tcW w:w="2334" w:type="dxa"/>
            <w:gridSpan w:val="2"/>
            <w:tcBorders>
              <w:top w:val="single" w:color="auto" w:sz="8" w:space="0"/>
            </w:tcBorders>
            <w:shd w:val="clear" w:color="auto" w:fill="auto"/>
            <w:vAlign w:val="center"/>
          </w:tcPr>
          <w:p>
            <w:pPr>
              <w:pStyle w:val="181"/>
              <w:snapToGrid w:val="0"/>
              <w:textAlignment w:val="baseline"/>
              <w:rPr>
                <w:rFonts w:hAnsi="宋体"/>
                <w:b/>
                <w:bCs/>
                <w:szCs w:val="18"/>
              </w:rPr>
            </w:pPr>
            <w:r>
              <w:rPr>
                <w:rFonts w:hint="eastAsia" w:hAnsi="宋体"/>
                <w:b/>
                <w:bCs/>
                <w:szCs w:val="18"/>
              </w:rPr>
              <w:t>文化程度</w:t>
            </w:r>
          </w:p>
        </w:tc>
        <w:tc>
          <w:tcPr>
            <w:tcW w:w="1167" w:type="dxa"/>
            <w:tcBorders>
              <w:top w:val="single" w:color="auto" w:sz="8" w:space="0"/>
            </w:tcBorders>
            <w:shd w:val="clear" w:color="auto" w:fill="auto"/>
            <w:vAlign w:val="center"/>
          </w:tcPr>
          <w:p>
            <w:pPr>
              <w:pStyle w:val="181"/>
              <w:snapToGrid w:val="0"/>
              <w:textAlignment w:val="baseline"/>
              <w:rPr>
                <w:rFonts w:hAnsi="宋体"/>
                <w:szCs w:val="18"/>
              </w:rPr>
            </w:pPr>
          </w:p>
        </w:tc>
        <w:tc>
          <w:tcPr>
            <w:tcW w:w="2334" w:type="dxa"/>
            <w:gridSpan w:val="2"/>
            <w:tcBorders>
              <w:top w:val="single" w:color="auto" w:sz="8" w:space="0"/>
            </w:tcBorders>
            <w:shd w:val="clear" w:color="auto" w:fill="auto"/>
            <w:vAlign w:val="center"/>
          </w:tcPr>
          <w:p>
            <w:pPr>
              <w:pStyle w:val="181"/>
              <w:snapToGrid w:val="0"/>
              <w:textAlignment w:val="baseline"/>
              <w:rPr>
                <w:rFonts w:hAnsi="宋体"/>
                <w:b/>
                <w:bCs/>
                <w:szCs w:val="18"/>
              </w:rPr>
            </w:pPr>
            <w:r>
              <w:rPr>
                <w:rFonts w:hint="eastAsia" w:hAnsi="宋体"/>
                <w:b/>
                <w:bCs/>
                <w:szCs w:val="18"/>
              </w:rPr>
              <w:t>婚姻状况</w:t>
            </w:r>
          </w:p>
        </w:tc>
        <w:tc>
          <w:tcPr>
            <w:tcW w:w="1167" w:type="dxa"/>
            <w:tcBorders>
              <w:top w:val="single" w:color="auto" w:sz="8" w:space="0"/>
            </w:tcBorders>
            <w:shd w:val="clear" w:color="auto" w:fill="auto"/>
            <w:vAlign w:val="center"/>
          </w:tcPr>
          <w:p>
            <w:pPr>
              <w:pStyle w:val="181"/>
              <w:snapToGrid w:val="0"/>
              <w:textAlignment w:val="baseline"/>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66" w:type="dxa"/>
            <w:shd w:val="clear" w:color="auto" w:fill="auto"/>
            <w:vAlign w:val="center"/>
          </w:tcPr>
          <w:p>
            <w:pPr>
              <w:pStyle w:val="181"/>
              <w:snapToGrid w:val="0"/>
              <w:textAlignment w:val="baseline"/>
              <w:rPr>
                <w:rFonts w:hAnsi="宋体"/>
                <w:b/>
                <w:bCs/>
                <w:szCs w:val="18"/>
              </w:rPr>
            </w:pPr>
            <w:r>
              <w:rPr>
                <w:rFonts w:hint="eastAsia" w:hAnsi="宋体"/>
                <w:b/>
                <w:bCs/>
                <w:szCs w:val="18"/>
              </w:rPr>
              <w:t>户籍所在地</w:t>
            </w:r>
          </w:p>
        </w:tc>
        <w:tc>
          <w:tcPr>
            <w:tcW w:w="3500" w:type="dxa"/>
            <w:gridSpan w:val="3"/>
            <w:shd w:val="clear" w:color="auto" w:fill="auto"/>
            <w:vAlign w:val="center"/>
          </w:tcPr>
          <w:p>
            <w:pPr>
              <w:pStyle w:val="181"/>
              <w:snapToGrid w:val="0"/>
              <w:textAlignment w:val="baseline"/>
              <w:rPr>
                <w:rFonts w:hAnsi="宋体"/>
                <w:szCs w:val="18"/>
              </w:rPr>
            </w:pP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实际居住地</w:t>
            </w:r>
          </w:p>
        </w:tc>
        <w:tc>
          <w:tcPr>
            <w:tcW w:w="3501" w:type="dxa"/>
            <w:gridSpan w:val="3"/>
            <w:shd w:val="clear" w:color="auto" w:fill="auto"/>
            <w:vAlign w:val="center"/>
          </w:tcPr>
          <w:p>
            <w:pPr>
              <w:pStyle w:val="181"/>
              <w:snapToGrid w:val="0"/>
              <w:textAlignment w:val="baseline"/>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66" w:type="dxa"/>
            <w:shd w:val="clear" w:color="auto" w:fill="auto"/>
            <w:vAlign w:val="center"/>
          </w:tcPr>
          <w:p>
            <w:pPr>
              <w:pStyle w:val="181"/>
              <w:snapToGrid w:val="0"/>
              <w:textAlignment w:val="baseline"/>
              <w:rPr>
                <w:rFonts w:hAnsi="宋体"/>
                <w:b/>
                <w:bCs/>
                <w:szCs w:val="18"/>
              </w:rPr>
            </w:pPr>
            <w:r>
              <w:rPr>
                <w:rFonts w:hint="eastAsia" w:hAnsi="宋体"/>
                <w:b/>
                <w:bCs/>
                <w:szCs w:val="18"/>
              </w:rPr>
              <w:t>身份证号码</w:t>
            </w:r>
          </w:p>
        </w:tc>
        <w:tc>
          <w:tcPr>
            <w:tcW w:w="3500" w:type="dxa"/>
            <w:gridSpan w:val="3"/>
            <w:shd w:val="clear" w:color="auto" w:fill="auto"/>
            <w:vAlign w:val="center"/>
          </w:tcPr>
          <w:p>
            <w:pPr>
              <w:pStyle w:val="181"/>
              <w:snapToGrid w:val="0"/>
              <w:textAlignment w:val="baseline"/>
              <w:rPr>
                <w:rFonts w:hAnsi="宋体"/>
                <w:szCs w:val="18"/>
              </w:rPr>
            </w:pP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受理日期</w:t>
            </w:r>
          </w:p>
        </w:tc>
        <w:tc>
          <w:tcPr>
            <w:tcW w:w="3501" w:type="dxa"/>
            <w:gridSpan w:val="3"/>
            <w:shd w:val="clear" w:color="auto" w:fill="auto"/>
            <w:vAlign w:val="center"/>
          </w:tcPr>
          <w:p>
            <w:pPr>
              <w:pStyle w:val="181"/>
              <w:snapToGrid w:val="0"/>
              <w:textAlignment w:val="baseline"/>
              <w:rPr>
                <w:rFonts w:hAnsi="宋体"/>
                <w:szCs w:val="18"/>
              </w:rPr>
            </w:pPr>
            <w:r>
              <w:rPr>
                <w:rFonts w:hint="eastAsia" w:hAnsi="宋体"/>
                <w:szCs w:val="18"/>
              </w:rPr>
              <w:t xml:space="preserve"> </w:t>
            </w:r>
            <w:r>
              <w:rPr>
                <w:rFonts w:hAnsi="宋体"/>
                <w:szCs w:val="18"/>
              </w:rPr>
              <w:t xml:space="preserve"> </w:t>
            </w:r>
            <w:r>
              <w:rPr>
                <w:rFonts w:hint="eastAsia" w:hAnsi="宋体"/>
                <w:szCs w:val="18"/>
              </w:rPr>
              <w:t xml:space="preserve">年 </w:t>
            </w:r>
            <w:r>
              <w:rPr>
                <w:rFonts w:hAnsi="宋体"/>
                <w:szCs w:val="18"/>
              </w:rPr>
              <w:t xml:space="preserve"> </w:t>
            </w:r>
            <w:r>
              <w:rPr>
                <w:rFonts w:hint="eastAsia" w:hAnsi="宋体"/>
                <w:szCs w:val="18"/>
              </w:rPr>
              <w:t xml:space="preserve">月 </w:t>
            </w:r>
            <w:r>
              <w:rPr>
                <w:rFonts w:hAnsi="宋体"/>
                <w:szCs w:val="18"/>
              </w:rPr>
              <w:t xml:space="preserve"> </w:t>
            </w:r>
            <w:r>
              <w:rPr>
                <w:rFonts w:hint="eastAsia" w:hAnsi="宋体"/>
                <w:szCs w:val="1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66" w:type="dxa"/>
            <w:shd w:val="clear" w:color="auto" w:fill="auto"/>
            <w:vAlign w:val="center"/>
          </w:tcPr>
          <w:p>
            <w:pPr>
              <w:pStyle w:val="181"/>
              <w:snapToGrid w:val="0"/>
              <w:textAlignment w:val="baseline"/>
              <w:rPr>
                <w:rFonts w:hAnsi="宋体"/>
                <w:b/>
                <w:bCs/>
                <w:szCs w:val="18"/>
              </w:rPr>
            </w:pPr>
            <w:r>
              <w:rPr>
                <w:rFonts w:hint="eastAsia" w:hAnsi="宋体"/>
                <w:b/>
                <w:bCs/>
                <w:szCs w:val="18"/>
              </w:rPr>
              <w:t>委托单位</w:t>
            </w:r>
          </w:p>
        </w:tc>
        <w:tc>
          <w:tcPr>
            <w:tcW w:w="2333" w:type="dxa"/>
            <w:gridSpan w:val="2"/>
            <w:shd w:val="clear" w:color="auto" w:fill="auto"/>
            <w:vAlign w:val="center"/>
          </w:tcPr>
          <w:p>
            <w:pPr>
              <w:pStyle w:val="181"/>
              <w:snapToGrid w:val="0"/>
              <w:textAlignment w:val="baseline"/>
              <w:rPr>
                <w:rFonts w:hAnsi="宋体"/>
                <w:szCs w:val="18"/>
              </w:rPr>
            </w:pP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联系人</w:t>
            </w:r>
          </w:p>
        </w:tc>
        <w:tc>
          <w:tcPr>
            <w:tcW w:w="1167" w:type="dxa"/>
            <w:shd w:val="clear" w:color="auto" w:fill="auto"/>
            <w:vAlign w:val="center"/>
          </w:tcPr>
          <w:p>
            <w:pPr>
              <w:pStyle w:val="181"/>
              <w:snapToGrid w:val="0"/>
              <w:textAlignment w:val="baseline"/>
              <w:rPr>
                <w:rFonts w:hAnsi="宋体"/>
                <w:szCs w:val="18"/>
              </w:rPr>
            </w:pP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联系方式</w:t>
            </w:r>
          </w:p>
        </w:tc>
        <w:tc>
          <w:tcPr>
            <w:tcW w:w="2334" w:type="dxa"/>
            <w:gridSpan w:val="2"/>
            <w:shd w:val="clear" w:color="auto" w:fill="auto"/>
            <w:vAlign w:val="center"/>
          </w:tcPr>
          <w:p>
            <w:pPr>
              <w:pStyle w:val="181"/>
              <w:snapToGrid w:val="0"/>
              <w:textAlignment w:val="baseline"/>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9334" w:type="dxa"/>
            <w:gridSpan w:val="8"/>
            <w:shd w:val="clear" w:color="auto" w:fill="auto"/>
          </w:tcPr>
          <w:p>
            <w:pPr>
              <w:pStyle w:val="181"/>
              <w:snapToGrid w:val="0"/>
              <w:jc w:val="both"/>
              <w:textAlignment w:val="baseline"/>
              <w:rPr>
                <w:rFonts w:hAnsi="宋体"/>
                <w:szCs w:val="18"/>
              </w:rPr>
            </w:pPr>
            <w:r>
              <w:rPr>
                <w:rFonts w:hint="eastAsia" w:hAnsi="宋体"/>
                <w:b/>
                <w:bCs/>
                <w:szCs w:val="18"/>
              </w:rPr>
              <w:t>病史采集</w:t>
            </w:r>
            <w:r>
              <w:rPr>
                <w:rFonts w:hint="eastAsia" w:hAnsi="宋体"/>
                <w:szCs w:val="18"/>
              </w:rPr>
              <w:t>：</w:t>
            </w: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vMerge w:val="restart"/>
            <w:shd w:val="clear" w:color="auto" w:fill="auto"/>
            <w:vAlign w:val="center"/>
          </w:tcPr>
          <w:p>
            <w:pPr>
              <w:pStyle w:val="181"/>
              <w:snapToGrid w:val="0"/>
              <w:textAlignment w:val="baseline"/>
              <w:rPr>
                <w:rFonts w:hAnsi="宋体"/>
                <w:b/>
                <w:bCs/>
                <w:szCs w:val="18"/>
              </w:rPr>
            </w:pPr>
            <w:r>
              <w:rPr>
                <w:rFonts w:hint="eastAsia" w:hAnsi="宋体"/>
                <w:b/>
                <w:bCs/>
                <w:szCs w:val="18"/>
              </w:rPr>
              <w:t>体检</w:t>
            </w:r>
          </w:p>
        </w:tc>
        <w:tc>
          <w:tcPr>
            <w:tcW w:w="1166" w:type="dxa"/>
            <w:shd w:val="clear" w:color="auto" w:fill="auto"/>
            <w:vAlign w:val="center"/>
          </w:tcPr>
          <w:p>
            <w:pPr>
              <w:pStyle w:val="181"/>
              <w:snapToGrid w:val="0"/>
              <w:textAlignment w:val="baseline"/>
              <w:rPr>
                <w:rFonts w:hAnsi="宋体"/>
                <w:b/>
                <w:bCs/>
                <w:szCs w:val="18"/>
              </w:rPr>
            </w:pPr>
            <w:r>
              <w:rPr>
                <w:rFonts w:hint="eastAsia" w:hAnsi="宋体"/>
                <w:b/>
                <w:bCs/>
                <w:szCs w:val="18"/>
              </w:rPr>
              <w:t>血压</w:t>
            </w:r>
          </w:p>
        </w:tc>
        <w:tc>
          <w:tcPr>
            <w:tcW w:w="1167" w:type="dxa"/>
            <w:shd w:val="clear" w:color="auto" w:fill="auto"/>
            <w:vAlign w:val="center"/>
          </w:tcPr>
          <w:p>
            <w:pPr>
              <w:pStyle w:val="181"/>
              <w:snapToGrid w:val="0"/>
              <w:textAlignment w:val="baseline"/>
              <w:rPr>
                <w:rFonts w:hAnsi="宋体"/>
                <w:szCs w:val="18"/>
              </w:rPr>
            </w:pPr>
            <w:r>
              <w:rPr>
                <w:rFonts w:hint="eastAsia" w:hAnsi="宋体"/>
                <w:szCs w:val="18"/>
              </w:rPr>
              <w:t>m</w:t>
            </w:r>
            <w:r>
              <w:rPr>
                <w:rFonts w:hAnsi="宋体"/>
                <w:szCs w:val="18"/>
              </w:rPr>
              <w:t>m</w:t>
            </w:r>
            <w:r>
              <w:rPr>
                <w:rFonts w:hint="eastAsia" w:hAnsi="宋体"/>
                <w:szCs w:val="18"/>
              </w:rPr>
              <w:t>Hg</w:t>
            </w: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呼吸</w:t>
            </w:r>
          </w:p>
        </w:tc>
        <w:tc>
          <w:tcPr>
            <w:tcW w:w="1167" w:type="dxa"/>
            <w:shd w:val="clear" w:color="auto" w:fill="auto"/>
            <w:vAlign w:val="center"/>
          </w:tcPr>
          <w:p>
            <w:pPr>
              <w:pStyle w:val="181"/>
              <w:snapToGrid w:val="0"/>
              <w:textAlignment w:val="baseline"/>
              <w:rPr>
                <w:rFonts w:hAnsi="宋体"/>
                <w:szCs w:val="18"/>
              </w:rPr>
            </w:pPr>
            <w:r>
              <w:rPr>
                <w:rFonts w:hint="eastAsia" w:hAnsi="宋体"/>
                <w:szCs w:val="18"/>
              </w:rPr>
              <w:t>次/分</w:t>
            </w: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体温</w:t>
            </w:r>
          </w:p>
        </w:tc>
        <w:tc>
          <w:tcPr>
            <w:tcW w:w="1167" w:type="dxa"/>
            <w:shd w:val="clear" w:color="auto" w:fill="auto"/>
            <w:vAlign w:val="center"/>
          </w:tcPr>
          <w:p>
            <w:pPr>
              <w:pStyle w:val="181"/>
              <w:snapToGrid w:val="0"/>
              <w:textAlignment w:val="baseline"/>
              <w:rPr>
                <w:rFonts w:hAnsi="宋体"/>
                <w:szCs w:val="18"/>
              </w:rPr>
            </w:pPr>
            <w:r>
              <w:rPr>
                <w:rFonts w:hint="eastAsia" w:hAnsi="宋体"/>
                <w:szCs w:val="18"/>
              </w:rPr>
              <w:t>℃</w:t>
            </w: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心率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vMerge w:val="continue"/>
            <w:shd w:val="clear" w:color="auto" w:fill="auto"/>
            <w:vAlign w:val="center"/>
          </w:tcPr>
          <w:p>
            <w:pPr>
              <w:pStyle w:val="181"/>
              <w:snapToGrid w:val="0"/>
              <w:textAlignment w:val="baseline"/>
              <w:rPr>
                <w:rFonts w:hAnsi="宋体"/>
                <w:szCs w:val="18"/>
              </w:rPr>
            </w:pPr>
          </w:p>
        </w:tc>
        <w:tc>
          <w:tcPr>
            <w:tcW w:w="1166" w:type="dxa"/>
            <w:shd w:val="clear" w:color="auto" w:fill="auto"/>
            <w:vAlign w:val="center"/>
          </w:tcPr>
          <w:p>
            <w:pPr>
              <w:pStyle w:val="181"/>
              <w:snapToGrid w:val="0"/>
              <w:textAlignment w:val="baseline"/>
              <w:rPr>
                <w:rFonts w:hAnsi="宋体"/>
                <w:b/>
                <w:bCs/>
                <w:szCs w:val="18"/>
              </w:rPr>
            </w:pPr>
            <w:r>
              <w:rPr>
                <w:rFonts w:hint="eastAsia" w:hAnsi="宋体"/>
                <w:b/>
                <w:bCs/>
                <w:szCs w:val="18"/>
              </w:rPr>
              <w:t>意识</w:t>
            </w:r>
          </w:p>
        </w:tc>
        <w:tc>
          <w:tcPr>
            <w:tcW w:w="1167" w:type="dxa"/>
            <w:shd w:val="clear" w:color="auto" w:fill="auto"/>
            <w:vAlign w:val="center"/>
          </w:tcPr>
          <w:p>
            <w:pPr>
              <w:pStyle w:val="181"/>
              <w:snapToGrid w:val="0"/>
              <w:textAlignment w:val="baseline"/>
              <w:rPr>
                <w:rFonts w:hAnsi="宋体"/>
                <w:szCs w:val="18"/>
              </w:rPr>
            </w:pP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双瞳孔</w:t>
            </w:r>
          </w:p>
        </w:tc>
        <w:tc>
          <w:tcPr>
            <w:tcW w:w="1167" w:type="dxa"/>
            <w:shd w:val="clear" w:color="auto" w:fill="auto"/>
            <w:vAlign w:val="center"/>
          </w:tcPr>
          <w:p>
            <w:pPr>
              <w:pStyle w:val="181"/>
              <w:snapToGrid w:val="0"/>
              <w:textAlignment w:val="baseline"/>
              <w:rPr>
                <w:rFonts w:hAnsi="宋体"/>
                <w:szCs w:val="18"/>
              </w:rPr>
            </w:pPr>
            <w:r>
              <w:rPr>
                <w:rFonts w:hint="eastAsia" w:hAnsi="宋体"/>
                <w:szCs w:val="18"/>
              </w:rPr>
              <w:t>m</w:t>
            </w:r>
            <w:r>
              <w:rPr>
                <w:rFonts w:hAnsi="宋体"/>
                <w:szCs w:val="18"/>
              </w:rPr>
              <w:t>m</w:t>
            </w:r>
          </w:p>
        </w:tc>
        <w:tc>
          <w:tcPr>
            <w:tcW w:w="1167" w:type="dxa"/>
            <w:shd w:val="clear" w:color="auto" w:fill="auto"/>
            <w:vAlign w:val="center"/>
          </w:tcPr>
          <w:p>
            <w:pPr>
              <w:pStyle w:val="181"/>
              <w:snapToGrid w:val="0"/>
              <w:textAlignment w:val="baseline"/>
              <w:rPr>
                <w:rFonts w:hAnsi="宋体"/>
                <w:szCs w:val="18"/>
              </w:rPr>
            </w:pPr>
            <w:r>
              <w:rPr>
                <w:rFonts w:hint="eastAsia" w:hAnsi="宋体"/>
                <w:b/>
                <w:bCs/>
                <w:szCs w:val="18"/>
              </w:rPr>
              <w:t>对光反应</w:t>
            </w:r>
          </w:p>
        </w:tc>
        <w:tc>
          <w:tcPr>
            <w:tcW w:w="1167" w:type="dxa"/>
            <w:shd w:val="clear" w:color="auto" w:fill="auto"/>
            <w:vAlign w:val="center"/>
          </w:tcPr>
          <w:p>
            <w:pPr>
              <w:pStyle w:val="181"/>
              <w:snapToGrid w:val="0"/>
              <w:textAlignment w:val="baseline"/>
              <w:rPr>
                <w:rFonts w:hAnsi="宋体"/>
                <w:szCs w:val="18"/>
              </w:rPr>
            </w:pPr>
          </w:p>
        </w:tc>
        <w:tc>
          <w:tcPr>
            <w:tcW w:w="1167" w:type="dxa"/>
            <w:shd w:val="clear" w:color="auto" w:fill="auto"/>
            <w:vAlign w:val="center"/>
          </w:tcPr>
          <w:p>
            <w:pPr>
              <w:pStyle w:val="181"/>
              <w:snapToGrid w:val="0"/>
              <w:textAlignment w:val="baseline"/>
              <w:rPr>
                <w:rFonts w:hAnsi="宋体"/>
                <w:szCs w:val="18"/>
              </w:rPr>
            </w:pPr>
            <w:r>
              <w:rPr>
                <w:rFonts w:hint="eastAsia" w:hAnsi="宋体"/>
                <w:szCs w:val="18"/>
              </w:rPr>
              <w:t>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6" w:type="dxa"/>
            <w:vMerge w:val="continue"/>
            <w:shd w:val="clear" w:color="auto" w:fill="auto"/>
            <w:vAlign w:val="center"/>
          </w:tcPr>
          <w:p>
            <w:pPr>
              <w:pStyle w:val="181"/>
              <w:snapToGrid w:val="0"/>
              <w:textAlignment w:val="baseline"/>
              <w:rPr>
                <w:rFonts w:hAnsi="宋体"/>
                <w:szCs w:val="18"/>
              </w:rPr>
            </w:pPr>
          </w:p>
        </w:tc>
        <w:tc>
          <w:tcPr>
            <w:tcW w:w="1166" w:type="dxa"/>
            <w:shd w:val="clear" w:color="auto" w:fill="auto"/>
            <w:vAlign w:val="center"/>
          </w:tcPr>
          <w:p>
            <w:pPr>
              <w:pStyle w:val="181"/>
              <w:snapToGrid w:val="0"/>
              <w:textAlignment w:val="baseline"/>
              <w:rPr>
                <w:rFonts w:hAnsi="宋体"/>
                <w:b/>
                <w:bCs/>
                <w:szCs w:val="18"/>
              </w:rPr>
            </w:pPr>
            <w:r>
              <w:rPr>
                <w:rFonts w:hint="eastAsia" w:hAnsi="宋体"/>
                <w:b/>
                <w:bCs/>
                <w:szCs w:val="18"/>
              </w:rPr>
              <w:t>心律</w:t>
            </w:r>
          </w:p>
        </w:tc>
        <w:tc>
          <w:tcPr>
            <w:tcW w:w="1167" w:type="dxa"/>
            <w:shd w:val="clear" w:color="auto" w:fill="auto"/>
            <w:vAlign w:val="center"/>
          </w:tcPr>
          <w:p>
            <w:pPr>
              <w:pStyle w:val="181"/>
              <w:snapToGrid w:val="0"/>
              <w:textAlignment w:val="baseline"/>
              <w:rPr>
                <w:rFonts w:hAnsi="宋体"/>
                <w:szCs w:val="18"/>
              </w:rPr>
            </w:pPr>
          </w:p>
        </w:tc>
        <w:tc>
          <w:tcPr>
            <w:tcW w:w="2334" w:type="dxa"/>
            <w:gridSpan w:val="2"/>
            <w:shd w:val="clear" w:color="auto" w:fill="auto"/>
            <w:vAlign w:val="center"/>
          </w:tcPr>
          <w:p>
            <w:pPr>
              <w:pStyle w:val="181"/>
              <w:snapToGrid w:val="0"/>
              <w:textAlignment w:val="baseline"/>
              <w:rPr>
                <w:rFonts w:hAnsi="宋体"/>
                <w:b/>
                <w:bCs/>
                <w:szCs w:val="18"/>
              </w:rPr>
            </w:pPr>
            <w:r>
              <w:rPr>
                <w:rFonts w:hint="eastAsia" w:hAnsi="宋体"/>
                <w:b/>
                <w:bCs/>
                <w:szCs w:val="18"/>
              </w:rPr>
              <w:t>神经系统检查病理征</w:t>
            </w:r>
          </w:p>
        </w:tc>
        <w:tc>
          <w:tcPr>
            <w:tcW w:w="1167" w:type="dxa"/>
            <w:shd w:val="clear" w:color="auto" w:fill="auto"/>
            <w:vAlign w:val="center"/>
          </w:tcPr>
          <w:p>
            <w:pPr>
              <w:pStyle w:val="181"/>
              <w:snapToGrid w:val="0"/>
              <w:textAlignment w:val="baseline"/>
              <w:rPr>
                <w:rFonts w:hAnsi="宋体"/>
                <w:szCs w:val="18"/>
              </w:rPr>
            </w:pPr>
          </w:p>
        </w:tc>
        <w:tc>
          <w:tcPr>
            <w:tcW w:w="1167" w:type="dxa"/>
            <w:shd w:val="clear" w:color="auto" w:fill="auto"/>
            <w:vAlign w:val="center"/>
          </w:tcPr>
          <w:p>
            <w:pPr>
              <w:pStyle w:val="181"/>
              <w:snapToGrid w:val="0"/>
              <w:textAlignment w:val="baseline"/>
              <w:rPr>
                <w:rFonts w:hAnsi="宋体"/>
                <w:b/>
                <w:bCs/>
                <w:szCs w:val="18"/>
              </w:rPr>
            </w:pPr>
            <w:r>
              <w:rPr>
                <w:rFonts w:hint="eastAsia" w:hAnsi="宋体"/>
                <w:b/>
                <w:bCs/>
                <w:szCs w:val="18"/>
              </w:rPr>
              <w:t>双手震颤</w:t>
            </w:r>
          </w:p>
        </w:tc>
        <w:tc>
          <w:tcPr>
            <w:tcW w:w="1167" w:type="dxa"/>
            <w:shd w:val="clear" w:color="auto" w:fill="auto"/>
            <w:vAlign w:val="center"/>
          </w:tcPr>
          <w:p>
            <w:pPr>
              <w:pStyle w:val="181"/>
              <w:snapToGrid w:val="0"/>
              <w:textAlignment w:val="baseline"/>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166" w:type="dxa"/>
            <w:vMerge w:val="continue"/>
            <w:shd w:val="clear" w:color="auto" w:fill="auto"/>
            <w:vAlign w:val="center"/>
          </w:tcPr>
          <w:p>
            <w:pPr>
              <w:pStyle w:val="181"/>
              <w:snapToGrid w:val="0"/>
              <w:textAlignment w:val="baseline"/>
              <w:rPr>
                <w:rFonts w:hAnsi="宋体"/>
                <w:szCs w:val="18"/>
              </w:rPr>
            </w:pPr>
          </w:p>
        </w:tc>
        <w:tc>
          <w:tcPr>
            <w:tcW w:w="1166" w:type="dxa"/>
            <w:shd w:val="clear" w:color="auto" w:fill="auto"/>
            <w:vAlign w:val="center"/>
          </w:tcPr>
          <w:p>
            <w:pPr>
              <w:pStyle w:val="181"/>
              <w:snapToGrid w:val="0"/>
              <w:textAlignment w:val="baseline"/>
              <w:rPr>
                <w:rFonts w:hAnsi="宋体"/>
                <w:b/>
                <w:bCs/>
                <w:szCs w:val="18"/>
              </w:rPr>
            </w:pPr>
            <w:r>
              <w:rPr>
                <w:rFonts w:hint="eastAsia" w:hAnsi="宋体"/>
                <w:b/>
                <w:bCs/>
                <w:szCs w:val="18"/>
              </w:rPr>
              <w:t>精神检查</w:t>
            </w:r>
          </w:p>
        </w:tc>
        <w:tc>
          <w:tcPr>
            <w:tcW w:w="7002" w:type="dxa"/>
            <w:gridSpan w:val="6"/>
            <w:shd w:val="clear" w:color="auto" w:fill="auto"/>
            <w:vAlign w:val="center"/>
          </w:tcPr>
          <w:p>
            <w:pPr>
              <w:pStyle w:val="181"/>
              <w:snapToGrid w:val="0"/>
              <w:textAlignment w:val="baseline"/>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6" w:type="dxa"/>
            <w:vMerge w:val="restart"/>
            <w:shd w:val="clear" w:color="auto" w:fill="auto"/>
            <w:vAlign w:val="center"/>
          </w:tcPr>
          <w:p>
            <w:pPr>
              <w:pStyle w:val="181"/>
              <w:snapToGrid w:val="0"/>
              <w:textAlignment w:val="baseline"/>
              <w:rPr>
                <w:rFonts w:hAnsi="宋体"/>
                <w:b/>
                <w:bCs/>
                <w:szCs w:val="18"/>
              </w:rPr>
            </w:pPr>
            <w:r>
              <w:rPr>
                <w:rFonts w:hint="eastAsia" w:hAnsi="宋体"/>
                <w:b/>
                <w:bCs/>
                <w:szCs w:val="18"/>
              </w:rPr>
              <w:t>相关检查</w:t>
            </w:r>
          </w:p>
        </w:tc>
        <w:tc>
          <w:tcPr>
            <w:tcW w:w="8168" w:type="dxa"/>
            <w:gridSpan w:val="7"/>
            <w:shd w:val="clear" w:color="auto" w:fill="auto"/>
            <w:vAlign w:val="center"/>
          </w:tcPr>
          <w:p>
            <w:pPr>
              <w:pStyle w:val="181"/>
              <w:snapToGrid w:val="0"/>
              <w:jc w:val="left"/>
              <w:textAlignment w:val="baseline"/>
              <w:rPr>
                <w:rFonts w:hAnsi="宋体"/>
                <w:szCs w:val="18"/>
              </w:rPr>
            </w:pPr>
            <w:r>
              <w:rPr>
                <w:rFonts w:hint="eastAsia" w:hAnsi="宋体"/>
                <w:szCs w:val="18"/>
              </w:rPr>
              <w:t xml:space="preserve">人体生物样本司法鉴定意见（尿液）（检测机构： </w:t>
            </w:r>
            <w:r>
              <w:rPr>
                <w:rFonts w:hAnsi="宋体"/>
                <w:szCs w:val="18"/>
              </w:rPr>
              <w:t xml:space="preserve">           </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6" w:type="dxa"/>
            <w:vMerge w:val="continue"/>
            <w:shd w:val="clear" w:color="auto" w:fill="auto"/>
            <w:vAlign w:val="center"/>
          </w:tcPr>
          <w:p>
            <w:pPr>
              <w:pStyle w:val="181"/>
              <w:snapToGrid w:val="0"/>
              <w:textAlignment w:val="baseline"/>
              <w:rPr>
                <w:rFonts w:hAnsi="宋体"/>
                <w:szCs w:val="18"/>
              </w:rPr>
            </w:pPr>
          </w:p>
        </w:tc>
        <w:tc>
          <w:tcPr>
            <w:tcW w:w="8168" w:type="dxa"/>
            <w:gridSpan w:val="7"/>
            <w:shd w:val="clear" w:color="auto" w:fill="auto"/>
            <w:vAlign w:val="center"/>
          </w:tcPr>
          <w:p>
            <w:pPr>
              <w:pStyle w:val="181"/>
              <w:snapToGrid w:val="0"/>
              <w:jc w:val="left"/>
              <w:textAlignment w:val="baseline"/>
              <w:rPr>
                <w:rFonts w:hAnsi="宋体"/>
                <w:szCs w:val="18"/>
              </w:rPr>
            </w:pPr>
            <w:r>
              <w:rPr>
                <w:rFonts w:hint="eastAsia" w:hAnsi="宋体"/>
                <w:szCs w:val="18"/>
              </w:rPr>
              <w:t xml:space="preserve">人体生物样本司法鉴定意见（毛发）（检测机构： </w:t>
            </w:r>
            <w:r>
              <w:rPr>
                <w:rFonts w:hAnsi="宋体"/>
                <w:szCs w:val="18"/>
              </w:rPr>
              <w:t xml:space="preserve">           </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6" w:type="dxa"/>
            <w:vMerge w:val="continue"/>
            <w:shd w:val="clear" w:color="auto" w:fill="auto"/>
            <w:vAlign w:val="center"/>
          </w:tcPr>
          <w:p>
            <w:pPr>
              <w:pStyle w:val="181"/>
              <w:snapToGrid w:val="0"/>
              <w:textAlignment w:val="baseline"/>
              <w:rPr>
                <w:rFonts w:hAnsi="宋体"/>
                <w:szCs w:val="18"/>
              </w:rPr>
            </w:pPr>
          </w:p>
        </w:tc>
        <w:tc>
          <w:tcPr>
            <w:tcW w:w="8168" w:type="dxa"/>
            <w:gridSpan w:val="7"/>
            <w:shd w:val="clear" w:color="auto" w:fill="auto"/>
            <w:vAlign w:val="center"/>
          </w:tcPr>
          <w:p>
            <w:pPr>
              <w:pStyle w:val="181"/>
              <w:snapToGrid w:val="0"/>
              <w:jc w:val="left"/>
              <w:textAlignment w:val="baseline"/>
              <w:rPr>
                <w:rFonts w:hAnsi="宋体"/>
                <w:szCs w:val="18"/>
              </w:rPr>
            </w:pPr>
            <w:r>
              <w:rPr>
                <w:rFonts w:hint="eastAsia" w:hAnsi="宋体"/>
                <w:szCs w:val="18"/>
              </w:rPr>
              <w:t>《阿片类药物戒断症状量表》得分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6" w:type="dxa"/>
            <w:vMerge w:val="continue"/>
            <w:shd w:val="clear" w:color="auto" w:fill="auto"/>
            <w:vAlign w:val="center"/>
          </w:tcPr>
          <w:p>
            <w:pPr>
              <w:pStyle w:val="181"/>
              <w:snapToGrid w:val="0"/>
              <w:textAlignment w:val="baseline"/>
              <w:rPr>
                <w:rFonts w:hAnsi="宋体"/>
                <w:szCs w:val="18"/>
              </w:rPr>
            </w:pPr>
          </w:p>
        </w:tc>
        <w:tc>
          <w:tcPr>
            <w:tcW w:w="8168" w:type="dxa"/>
            <w:gridSpan w:val="7"/>
            <w:shd w:val="clear" w:color="auto" w:fill="auto"/>
            <w:vAlign w:val="center"/>
          </w:tcPr>
          <w:p>
            <w:pPr>
              <w:snapToGrid w:val="0"/>
              <w:spacing w:line="240" w:lineRule="auto"/>
              <w:textAlignment w:val="baseline"/>
              <w:rPr>
                <w:rFonts w:ascii="宋体" w:hAnsi="宋体"/>
                <w:kern w:val="0"/>
                <w:sz w:val="18"/>
                <w:szCs w:val="18"/>
              </w:rPr>
            </w:pPr>
            <w:r>
              <w:rPr>
                <w:rFonts w:hint="eastAsia" w:ascii="宋体" w:hAnsi="宋体"/>
                <w:kern w:val="0"/>
                <w:sz w:val="18"/>
                <w:szCs w:val="18"/>
              </w:rPr>
              <w:t>《苯丙胺类药物戒断症状量表》得分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6" w:type="dxa"/>
            <w:vMerge w:val="continue"/>
            <w:shd w:val="clear" w:color="auto" w:fill="auto"/>
            <w:vAlign w:val="center"/>
          </w:tcPr>
          <w:p>
            <w:pPr>
              <w:pStyle w:val="181"/>
              <w:snapToGrid w:val="0"/>
              <w:textAlignment w:val="baseline"/>
              <w:rPr>
                <w:rFonts w:hAnsi="宋体"/>
                <w:szCs w:val="18"/>
              </w:rPr>
            </w:pPr>
          </w:p>
        </w:tc>
        <w:tc>
          <w:tcPr>
            <w:tcW w:w="8168" w:type="dxa"/>
            <w:gridSpan w:val="7"/>
            <w:shd w:val="clear" w:color="auto" w:fill="auto"/>
            <w:vAlign w:val="center"/>
          </w:tcPr>
          <w:p>
            <w:pPr>
              <w:pStyle w:val="181"/>
              <w:snapToGrid w:val="0"/>
              <w:jc w:val="left"/>
              <w:textAlignment w:val="baseline"/>
              <w:rPr>
                <w:rFonts w:hAnsi="宋体"/>
                <w:szCs w:val="18"/>
              </w:rPr>
            </w:pPr>
            <w:r>
              <w:rPr>
                <w:rFonts w:hint="eastAsia" w:hAnsi="宋体"/>
                <w:szCs w:val="18"/>
              </w:rPr>
              <w:t>《大麻戒断症状评估量表》得分</w:t>
            </w:r>
            <w:r>
              <w:rPr>
                <w:rFonts w:hAnsi="宋体"/>
                <w:szCs w:val="18"/>
              </w:rPr>
              <w:t xml:space="preserve"> </w:t>
            </w:r>
            <w:r>
              <w:rPr>
                <w:rFonts w:hint="eastAsia" w:hAnsi="宋体"/>
                <w:szCs w:val="18"/>
              </w:rPr>
              <w:t xml:space="preserve">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66" w:type="dxa"/>
            <w:vMerge w:val="continue"/>
            <w:shd w:val="clear" w:color="auto" w:fill="auto"/>
            <w:vAlign w:val="center"/>
          </w:tcPr>
          <w:p>
            <w:pPr>
              <w:pStyle w:val="181"/>
              <w:snapToGrid w:val="0"/>
              <w:textAlignment w:val="baseline"/>
              <w:rPr>
                <w:rFonts w:hAnsi="宋体"/>
                <w:szCs w:val="18"/>
              </w:rPr>
            </w:pPr>
          </w:p>
        </w:tc>
        <w:tc>
          <w:tcPr>
            <w:tcW w:w="8168" w:type="dxa"/>
            <w:gridSpan w:val="7"/>
            <w:shd w:val="clear" w:color="auto" w:fill="auto"/>
            <w:vAlign w:val="center"/>
          </w:tcPr>
          <w:p>
            <w:pPr>
              <w:pStyle w:val="181"/>
              <w:snapToGrid w:val="0"/>
              <w:jc w:val="left"/>
              <w:textAlignment w:val="baseline"/>
              <w:rPr>
                <w:rFonts w:hAnsi="宋体"/>
                <w:szCs w:val="18"/>
              </w:rPr>
            </w:pPr>
            <w:r>
              <w:rPr>
                <w:rFonts w:hint="eastAsia" w:hAnsi="宋体"/>
                <w:szCs w:val="18"/>
              </w:rPr>
              <w:t>《阳性和阴性症状量表评分表》得分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334" w:type="dxa"/>
            <w:gridSpan w:val="8"/>
            <w:shd w:val="clear" w:color="auto" w:fill="auto"/>
          </w:tcPr>
          <w:p>
            <w:pPr>
              <w:pStyle w:val="181"/>
              <w:snapToGrid w:val="0"/>
              <w:jc w:val="both"/>
              <w:textAlignment w:val="baseline"/>
              <w:rPr>
                <w:rFonts w:hAnsi="宋体"/>
                <w:b/>
                <w:bCs/>
                <w:szCs w:val="18"/>
              </w:rPr>
            </w:pPr>
            <w:r>
              <w:rPr>
                <w:rFonts w:hint="eastAsia" w:hAnsi="宋体"/>
                <w:b/>
                <w:bCs/>
                <w:szCs w:val="18"/>
              </w:rPr>
              <w:t>认定意见：</w:t>
            </w: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r>
              <w:rPr>
                <w:rFonts w:hint="eastAsia" w:hAnsi="宋体"/>
                <w:szCs w:val="18"/>
              </w:rPr>
              <w:t>以上吸毒成瘾认定意见仅供参考。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9334" w:type="dxa"/>
            <w:gridSpan w:val="8"/>
            <w:tcBorders>
              <w:bottom w:val="single" w:color="auto" w:sz="8" w:space="0"/>
            </w:tcBorders>
            <w:shd w:val="clear" w:color="auto" w:fill="auto"/>
          </w:tcPr>
          <w:p>
            <w:pPr>
              <w:pStyle w:val="181"/>
              <w:snapToGrid w:val="0"/>
              <w:jc w:val="both"/>
              <w:textAlignment w:val="baseline"/>
              <w:rPr>
                <w:rFonts w:hAnsi="宋体"/>
                <w:szCs w:val="18"/>
              </w:rPr>
            </w:pPr>
            <w:r>
              <w:rPr>
                <w:rFonts w:hint="eastAsia" w:hAnsi="宋体"/>
                <w:szCs w:val="18"/>
              </w:rPr>
              <w:t>吸毒成瘾认定人：</w:t>
            </w: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both"/>
              <w:textAlignment w:val="baseline"/>
              <w:rPr>
                <w:rFonts w:hAnsi="宋体"/>
                <w:szCs w:val="18"/>
              </w:rPr>
            </w:pPr>
          </w:p>
          <w:p>
            <w:pPr>
              <w:pStyle w:val="181"/>
              <w:snapToGrid w:val="0"/>
              <w:jc w:val="right"/>
              <w:textAlignment w:val="baseline"/>
              <w:rPr>
                <w:rFonts w:hAnsi="宋体"/>
                <w:szCs w:val="18"/>
              </w:rPr>
            </w:pPr>
            <w:r>
              <w:rPr>
                <w:rFonts w:hint="eastAsia" w:hAnsi="宋体"/>
                <w:szCs w:val="18"/>
              </w:rPr>
              <w:t>××××（戒毒医疗机构名称）（盖章）</w:t>
            </w:r>
          </w:p>
          <w:p>
            <w:pPr>
              <w:pStyle w:val="181"/>
              <w:snapToGrid w:val="0"/>
              <w:jc w:val="right"/>
              <w:textAlignment w:val="baseline"/>
              <w:rPr>
                <w:rFonts w:hAnsi="宋体"/>
                <w:szCs w:val="18"/>
              </w:rPr>
            </w:pPr>
            <w:r>
              <w:rPr>
                <w:rFonts w:hint="eastAsia" w:hAnsi="宋体"/>
                <w:szCs w:val="18"/>
              </w:rPr>
              <w:t xml:space="preserve">认定日期： </w:t>
            </w:r>
            <w:r>
              <w:rPr>
                <w:rFonts w:hAnsi="宋体"/>
                <w:szCs w:val="18"/>
              </w:rPr>
              <w:t xml:space="preserve">    </w:t>
            </w:r>
            <w:r>
              <w:rPr>
                <w:rFonts w:hint="eastAsia" w:hAnsi="宋体"/>
                <w:szCs w:val="18"/>
              </w:rPr>
              <w:t xml:space="preserve">年 </w:t>
            </w:r>
            <w:r>
              <w:rPr>
                <w:rFonts w:hAnsi="宋体"/>
                <w:szCs w:val="18"/>
              </w:rPr>
              <w:t xml:space="preserve">    </w:t>
            </w:r>
            <w:r>
              <w:rPr>
                <w:rFonts w:hint="eastAsia" w:hAnsi="宋体"/>
                <w:szCs w:val="18"/>
              </w:rPr>
              <w:t xml:space="preserve">月 </w:t>
            </w:r>
            <w:r>
              <w:rPr>
                <w:rFonts w:hAnsi="宋体"/>
                <w:szCs w:val="18"/>
              </w:rPr>
              <w:t xml:space="preserve">    </w:t>
            </w:r>
            <w:r>
              <w:rPr>
                <w:rFonts w:hint="eastAsia" w:hAnsi="宋体"/>
                <w:szCs w:val="18"/>
              </w:rPr>
              <w:t>日</w:t>
            </w:r>
          </w:p>
        </w:tc>
      </w:tr>
    </w:tbl>
    <w:p>
      <w:pPr>
        <w:pStyle w:val="59"/>
        <w:ind w:firstLine="420"/>
      </w:pPr>
    </w:p>
    <w:bookmarkEnd w:id="100"/>
    <w:p>
      <w:pPr>
        <w:pStyle w:val="59"/>
        <w:ind w:firstLine="420"/>
        <w:sectPr>
          <w:headerReference r:id="rId22" w:type="default"/>
          <w:footerReference r:id="rId24" w:type="default"/>
          <w:headerReference r:id="rId23" w:type="even"/>
          <w:footerReference r:id="rId25" w:type="even"/>
          <w:pgSz w:w="11906" w:h="16838"/>
          <w:pgMar w:top="2410" w:right="1134" w:bottom="1134" w:left="1134" w:header="1418" w:footer="1134" w:gutter="284"/>
          <w:cols w:space="425" w:num="1"/>
          <w:formProt w:val="0"/>
          <w:docGrid w:type="lines" w:linePitch="312" w:charSpace="0"/>
        </w:sectPr>
      </w:pPr>
      <w:bookmarkStart w:id="110" w:name="BookMark6"/>
    </w:p>
    <w:p>
      <w:pPr>
        <w:pStyle w:val="66"/>
        <w:spacing w:before="124" w:after="156"/>
      </w:pPr>
      <w:bookmarkStart w:id="111" w:name="_Toc91489715"/>
      <w:bookmarkStart w:id="112" w:name="_Toc91490334"/>
      <w:bookmarkStart w:id="113" w:name="_Toc24697"/>
      <w:bookmarkStart w:id="114" w:name="_Toc17615"/>
      <w:bookmarkStart w:id="115" w:name="_Toc11398"/>
      <w:r>
        <w:rPr>
          <w:rFonts w:hint="eastAsia"/>
          <w:spacing w:val="105"/>
        </w:rPr>
        <w:t>参考文</w:t>
      </w:r>
      <w:r>
        <w:rPr>
          <w:rFonts w:hint="eastAsia"/>
        </w:rPr>
        <w:t>献</w:t>
      </w:r>
      <w:bookmarkEnd w:id="111"/>
      <w:bookmarkEnd w:id="112"/>
      <w:bookmarkEnd w:id="113"/>
      <w:bookmarkEnd w:id="114"/>
      <w:bookmarkEnd w:id="115"/>
    </w:p>
    <w:p>
      <w:pPr>
        <w:pStyle w:val="59"/>
        <w:ind w:firstLine="420"/>
      </w:pPr>
      <w:r>
        <w:rPr>
          <w:rFonts w:hint="eastAsia"/>
        </w:rPr>
        <w:t>[</w:t>
      </w:r>
      <w:r>
        <w:t>1]</w:t>
      </w:r>
      <w:r>
        <w:rPr>
          <w:rFonts w:hint="eastAsia"/>
        </w:rPr>
        <w:t xml:space="preserve"> 全国人大常委会.中华人民共和国禁毒法（中华人民共和国主席令第7</w:t>
      </w:r>
      <w:r>
        <w:t>9</w:t>
      </w:r>
      <w:r>
        <w:rPr>
          <w:rFonts w:hint="eastAsia"/>
        </w:rPr>
        <w:t>号）[</w:t>
      </w:r>
      <w:r>
        <w:t>Z/OL]</w:t>
      </w:r>
      <w:r>
        <w:rPr>
          <w:rFonts w:hint="eastAsia"/>
        </w:rPr>
        <w:t>.</w:t>
      </w:r>
    </w:p>
    <w:p>
      <w:pPr>
        <w:pStyle w:val="59"/>
        <w:ind w:firstLine="420"/>
      </w:pPr>
      <w:r>
        <w:rPr>
          <w:rFonts w:hint="eastAsia"/>
        </w:rPr>
        <w:t>[</w:t>
      </w:r>
      <w:r>
        <w:t>2]</w:t>
      </w:r>
      <w:r>
        <w:rPr>
          <w:rFonts w:hint="eastAsia"/>
        </w:rPr>
        <w:t xml:space="preserve"> 公安部.吸毒吸毒成瘾认定办法（2</w:t>
      </w:r>
      <w:r>
        <w:t>016</w:t>
      </w:r>
      <w:r>
        <w:rPr>
          <w:rFonts w:hint="eastAsia"/>
        </w:rPr>
        <w:t>修订）.（中华人民共和国公安部、中华人民共和国国家卫生和计划生育委员会令第1</w:t>
      </w:r>
      <w:r>
        <w:t>42</w:t>
      </w:r>
      <w:r>
        <w:rPr>
          <w:rFonts w:hint="eastAsia"/>
        </w:rPr>
        <w:t>号）[</w:t>
      </w:r>
      <w:r>
        <w:t>Z/OL].</w:t>
      </w:r>
    </w:p>
    <w:p>
      <w:pPr>
        <w:pStyle w:val="59"/>
        <w:ind w:firstLine="420"/>
      </w:pPr>
      <w:r>
        <w:rPr>
          <w:rFonts w:hint="eastAsia"/>
        </w:rPr>
        <w:t>[3</w:t>
      </w:r>
      <w:r>
        <w:t>]</w:t>
      </w:r>
      <w:r>
        <w:rPr>
          <w:rFonts w:hint="eastAsia"/>
        </w:rPr>
        <w:t xml:space="preserve"> 国家卫生健康委员会、公安部、司法部.关于印发戒毒治疗管理办法的通知（2</w:t>
      </w:r>
      <w:r>
        <w:t>021</w:t>
      </w:r>
      <w:r>
        <w:rPr>
          <w:rFonts w:hint="eastAsia"/>
        </w:rPr>
        <w:t>修订）（国卫医发</w:t>
      </w:r>
      <w:r>
        <w:rPr>
          <w:rFonts w:hint="eastAsia" w:hAnsi="宋体" w:cs="宋体"/>
          <w:kern w:val="2"/>
          <w:sz w:val="18"/>
          <w:szCs w:val="18"/>
        </w:rPr>
        <w:t>〔</w:t>
      </w:r>
      <w:r>
        <w:t>2021</w:t>
      </w:r>
      <w:r>
        <w:rPr>
          <w:rFonts w:hint="eastAsia" w:hAnsi="宋体" w:cs="宋体"/>
          <w:kern w:val="2"/>
          <w:sz w:val="18"/>
          <w:szCs w:val="18"/>
        </w:rPr>
        <w:t>〕</w:t>
      </w:r>
      <w:r>
        <w:t>5</w:t>
      </w:r>
      <w:r>
        <w:rPr>
          <w:rFonts w:hint="eastAsia"/>
        </w:rPr>
        <w:t>号）[</w:t>
      </w:r>
      <w:r>
        <w:t>Z/OL]</w:t>
      </w:r>
      <w:r>
        <w:rPr>
          <w:rFonts w:hint="eastAsia"/>
        </w:rPr>
        <w:t>.</w:t>
      </w:r>
    </w:p>
    <w:p>
      <w:pPr>
        <w:pStyle w:val="59"/>
        <w:ind w:firstLine="420"/>
      </w:pPr>
    </w:p>
    <w:bookmarkEnd w:id="110"/>
    <w:p>
      <w:pPr>
        <w:pStyle w:val="59"/>
        <w:ind w:firstLine="0" w:firstLineChars="0"/>
        <w:jc w:val="center"/>
      </w:pPr>
      <w:bookmarkStart w:id="116" w:name="BookMark8"/>
      <w:r>
        <w:drawing>
          <wp:inline distT="0" distB="0" distL="0" distR="0">
            <wp:extent cx="2800350" cy="2667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800350" cy="266700"/>
                    </a:xfrm>
                    <a:prstGeom prst="rect">
                      <a:avLst/>
                    </a:prstGeom>
                  </pic:spPr>
                </pic:pic>
              </a:graphicData>
            </a:graphic>
          </wp:inline>
        </w:drawing>
      </w:r>
      <w:bookmarkEnd w:id="116"/>
    </w:p>
    <w:sectPr>
      <w:headerReference r:id="rId26" w:type="default"/>
      <w:footerReference r:id="rId28" w:type="default"/>
      <w:headerReference r:id="rId27" w:type="even"/>
      <w:footerReference r:id="rId29"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54"/>
                    </w:pPr>
                    <w:r>
                      <w:fldChar w:fldCharType="begin"/>
                    </w:r>
                    <w:r>
                      <w:instrText xml:space="preserve"> PAGE   \* MERGEFORMAT \* MERGEFORMAT </w:instrText>
                    </w:r>
                    <w:r>
                      <w:fldChar w:fldCharType="separate"/>
                    </w:r>
                    <w:r>
                      <w:t>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54"/>
                    </w:pPr>
                    <w:r>
                      <w:fldChar w:fldCharType="begin"/>
                    </w:r>
                    <w:r>
                      <w:instrText xml:space="preserve"> PAGE   \* MERGEFORMAT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54"/>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54"/>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54"/>
                    </w:pPr>
                    <w:r>
                      <w:fldChar w:fldCharType="begin"/>
                    </w:r>
                    <w:r>
                      <w:instrText xml:space="preserve"> PAGE   \* MERGEFORMAT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31/T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31/T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mNmVlMjM0M2I1Mzk0ODZlYTNlNDYwYWM5MmNkMjIifQ=="/>
  </w:docVars>
  <w:rsids>
    <w:rsidRoot w:val="00DB0805"/>
    <w:rsid w:val="0000040A"/>
    <w:rsid w:val="00000A94"/>
    <w:rsid w:val="00001972"/>
    <w:rsid w:val="00001D9A"/>
    <w:rsid w:val="00007B3A"/>
    <w:rsid w:val="000107E0"/>
    <w:rsid w:val="00011FDE"/>
    <w:rsid w:val="00012FFD"/>
    <w:rsid w:val="00014162"/>
    <w:rsid w:val="00014340"/>
    <w:rsid w:val="00016A9C"/>
    <w:rsid w:val="00022184"/>
    <w:rsid w:val="0002226D"/>
    <w:rsid w:val="00022762"/>
    <w:rsid w:val="000238E0"/>
    <w:rsid w:val="000249DB"/>
    <w:rsid w:val="0002595E"/>
    <w:rsid w:val="000303C3"/>
    <w:rsid w:val="000331D3"/>
    <w:rsid w:val="000346A5"/>
    <w:rsid w:val="000359C3"/>
    <w:rsid w:val="00035A7D"/>
    <w:rsid w:val="000365ED"/>
    <w:rsid w:val="00041403"/>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0D87"/>
    <w:rsid w:val="00092B8A"/>
    <w:rsid w:val="00092FB0"/>
    <w:rsid w:val="000934C5"/>
    <w:rsid w:val="00093D25"/>
    <w:rsid w:val="00093DAB"/>
    <w:rsid w:val="00094D73"/>
    <w:rsid w:val="00096D63"/>
    <w:rsid w:val="000A0B60"/>
    <w:rsid w:val="000A0EB8"/>
    <w:rsid w:val="000A19FC"/>
    <w:rsid w:val="000A296B"/>
    <w:rsid w:val="000A69B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632"/>
    <w:rsid w:val="001C04A8"/>
    <w:rsid w:val="001C2C03"/>
    <w:rsid w:val="001C42F7"/>
    <w:rsid w:val="001C49E5"/>
    <w:rsid w:val="001C680C"/>
    <w:rsid w:val="001C7FEA"/>
    <w:rsid w:val="001D0499"/>
    <w:rsid w:val="001D0BBE"/>
    <w:rsid w:val="001D0ED4"/>
    <w:rsid w:val="001D212F"/>
    <w:rsid w:val="001D29D7"/>
    <w:rsid w:val="001D2DE7"/>
    <w:rsid w:val="001D411C"/>
    <w:rsid w:val="001E065F"/>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716"/>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E33"/>
    <w:rsid w:val="00254462"/>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2D56"/>
    <w:rsid w:val="003C5A43"/>
    <w:rsid w:val="003D0519"/>
    <w:rsid w:val="003D0FF6"/>
    <w:rsid w:val="003D262C"/>
    <w:rsid w:val="003D6D61"/>
    <w:rsid w:val="003E091D"/>
    <w:rsid w:val="003E1C53"/>
    <w:rsid w:val="003E2A69"/>
    <w:rsid w:val="003E2D49"/>
    <w:rsid w:val="003E2FD4"/>
    <w:rsid w:val="003E49F6"/>
    <w:rsid w:val="003E660F"/>
    <w:rsid w:val="003F0841"/>
    <w:rsid w:val="003F1130"/>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586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221"/>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5EE"/>
    <w:rsid w:val="0056487B"/>
    <w:rsid w:val="00564FB9"/>
    <w:rsid w:val="0057162B"/>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3F6"/>
    <w:rsid w:val="005D0C75"/>
    <w:rsid w:val="005D25A4"/>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292"/>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2E6F"/>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3CAE"/>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4D5"/>
    <w:rsid w:val="007B5A3D"/>
    <w:rsid w:val="007B5B95"/>
    <w:rsid w:val="007B68EA"/>
    <w:rsid w:val="007B6A42"/>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41C"/>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088"/>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20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12F"/>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0B7"/>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CF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304A"/>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79D"/>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A7B"/>
    <w:rsid w:val="00D71F25"/>
    <w:rsid w:val="00D72A9C"/>
    <w:rsid w:val="00D77031"/>
    <w:rsid w:val="00D8411D"/>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805"/>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873"/>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2C8E"/>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5FAC"/>
    <w:rsid w:val="00F86D87"/>
    <w:rsid w:val="00F87ACC"/>
    <w:rsid w:val="00F9108B"/>
    <w:rsid w:val="00F91349"/>
    <w:rsid w:val="00F93A8A"/>
    <w:rsid w:val="00F95248"/>
    <w:rsid w:val="00F956A9"/>
    <w:rsid w:val="00F963ED"/>
    <w:rsid w:val="00F966CF"/>
    <w:rsid w:val="00F96CAE"/>
    <w:rsid w:val="00F97C99"/>
    <w:rsid w:val="00FA4DAC"/>
    <w:rsid w:val="00FA5554"/>
    <w:rsid w:val="00FA662D"/>
    <w:rsid w:val="00FA73B1"/>
    <w:rsid w:val="00FB0626"/>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3E552A"/>
    <w:rsid w:val="089D3C95"/>
    <w:rsid w:val="0AFF7E9B"/>
    <w:rsid w:val="1CBD4A85"/>
    <w:rsid w:val="1CDE0D6E"/>
    <w:rsid w:val="3CFD2DAE"/>
    <w:rsid w:val="3D181968"/>
    <w:rsid w:val="4BAA223B"/>
    <w:rsid w:val="5A0B2934"/>
    <w:rsid w:val="61881599"/>
    <w:rsid w:val="7003343B"/>
    <w:rsid w:val="707A7C2C"/>
    <w:rsid w:val="7CC0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semiHidden/>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 w:type="paragraph" w:customStyle="1" w:styleId="235">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jpeg"/><Relationship Id="rId33" Type="http://schemas.openxmlformats.org/officeDocument/2006/relationships/image" Target="media/image2.emf"/><Relationship Id="rId32" Type="http://schemas.openxmlformats.org/officeDocument/2006/relationships/package" Target="embeddings/Microsoft_Visio___1.vsdx"/><Relationship Id="rId31" Type="http://schemas.openxmlformats.org/officeDocument/2006/relationships/image" Target="media/image1.tiff"/><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83414756FB4A63A18B533DF017889E"/>
        <w:style w:val=""/>
        <w:category>
          <w:name w:val="常规"/>
          <w:gallery w:val="placeholder"/>
        </w:category>
        <w:types>
          <w:type w:val="bbPlcHdr"/>
        </w:types>
        <w:behaviors>
          <w:behavior w:val="content"/>
        </w:behaviors>
        <w:description w:val=""/>
        <w:guid w:val="{2FCA2DE7-B5D6-415C-A7EE-1E556FDC9E72}"/>
      </w:docPartPr>
      <w:docPartBody>
        <w:p>
          <w:pPr>
            <w:pStyle w:val="5"/>
          </w:pPr>
          <w:r>
            <w:rPr>
              <w:rStyle w:val="4"/>
              <w:rFonts w:hint="eastAsia"/>
            </w:rPr>
            <w:t>单击或点击此处输入文字。</w:t>
          </w:r>
        </w:p>
      </w:docPartBody>
    </w:docPart>
    <w:docPart>
      <w:docPartPr>
        <w:name w:val="1055C72E628B4833B55E9304530C4166"/>
        <w:style w:val=""/>
        <w:category>
          <w:name w:val="常规"/>
          <w:gallery w:val="placeholder"/>
        </w:category>
        <w:types>
          <w:type w:val="bbPlcHdr"/>
        </w:types>
        <w:behaviors>
          <w:behavior w:val="content"/>
        </w:behaviors>
        <w:description w:val=""/>
        <w:guid w:val="{7C689C2C-0418-4FB3-8719-8F1BE4C9159B}"/>
      </w:docPartPr>
      <w:docPartBody>
        <w:p>
          <w:pPr>
            <w:pStyle w:val="6"/>
          </w:pPr>
          <w:r>
            <w:rPr>
              <w:rStyle w:val="4"/>
              <w:rFonts w:hint="eastAsia"/>
            </w:rPr>
            <w:t>选择一项。</w:t>
          </w:r>
        </w:p>
      </w:docPartBody>
    </w:docPart>
    <w:docPart>
      <w:docPartPr>
        <w:name w:val="A0EE47D45A2D4A09BF01281F40819062"/>
        <w:style w:val=""/>
        <w:category>
          <w:name w:val="常规"/>
          <w:gallery w:val="placeholder"/>
        </w:category>
        <w:types>
          <w:type w:val="bbPlcHdr"/>
        </w:types>
        <w:behaviors>
          <w:behavior w:val="content"/>
        </w:behaviors>
        <w:description w:val=""/>
        <w:guid w:val="{78541061-F6D3-41E8-A35B-6BC8427071E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00539E"/>
    <w:rsid w:val="0000539E"/>
    <w:rsid w:val="00036883"/>
    <w:rsid w:val="00092143"/>
    <w:rsid w:val="000E044C"/>
    <w:rsid w:val="00420DD3"/>
    <w:rsid w:val="005459DD"/>
    <w:rsid w:val="007F7942"/>
    <w:rsid w:val="009362F9"/>
    <w:rsid w:val="00B056CA"/>
    <w:rsid w:val="00C75DFA"/>
    <w:rsid w:val="00EE0227"/>
    <w:rsid w:val="00F9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83414756FB4A63A18B533DF01788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55C72E628B4833B55E9304530C4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0EE47D45A2D4A09BF01281F408190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E77A8-426F-443E-869D-976F69ED576D}">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2675</Words>
  <Characters>2892</Characters>
  <Lines>30</Lines>
  <Paragraphs>8</Paragraphs>
  <TotalTime>2</TotalTime>
  <ScaleCrop>false</ScaleCrop>
  <LinksUpToDate>false</LinksUpToDate>
  <CharactersWithSpaces>3020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2022-02-11T08:00:00Z</dcterms:created>
  <dc:creator>LI ZHAO</dc:creator>
  <dc:description>&lt;config cover="true" show_menu="true" version="1.0.0" doctype="SDKXY"&gt;_x000d_
&lt;/config&gt;</dc:description>
  <cp:lastModifiedBy>lily</cp:lastModifiedBy>
  <cp:lastPrinted>2021-12-27T06:04:00Z</cp:lastPrinted>
  <dcterms:modified xsi:type="dcterms:W3CDTF">2022-08-02T06:21:46Z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2052-11.1.0.11875</vt:lpwstr>
  </property>
  <property fmtid="{D5CDD505-2E9C-101B-9397-08002B2CF9AE}" pid="16" name="ICV">
    <vt:lpwstr>6D9025D953A54F7191F610951DC8AFC3</vt:lpwstr>
  </property>
</Properties>
</file>