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9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6"/>
          <w:szCs w:val="36"/>
          <w:lang w:eastAsia="zh-CN"/>
        </w:rPr>
        <w:t>省卫健委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6"/>
          <w:szCs w:val="36"/>
          <w:lang w:val="en-US" w:eastAsia="zh-CN"/>
        </w:rPr>
        <w:t>向福州市、厦门市下放省级审批事项清单</w:t>
      </w:r>
    </w:p>
    <w:tbl>
      <w:tblPr>
        <w:tblStyle w:val="3"/>
        <w:tblW w:w="135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05"/>
        <w:gridCol w:w="2126"/>
        <w:gridCol w:w="2222"/>
        <w:gridCol w:w="1714"/>
        <w:gridCol w:w="1309"/>
        <w:gridCol w:w="1027"/>
        <w:gridCol w:w="1653"/>
        <w:gridCol w:w="1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事项主项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事项子项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事项孙项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设立依据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省级下放部门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下放方式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监管措施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母婴保健服务人员资格认定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母婴保健服务人员资格认定_新证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母婴保健服务人员资格认定_新证_产前诊断或产前筛查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1.《中华人民共和国母婴保健法》第三十三条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2.《中华人民共和国母婴保健法实施办法》第三十五条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省卫健委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委托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1.开展“双随机、一公开”监管，发现违法违规行为要依法查处并公开结果。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2.依法及时处理投诉举报。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申请人包括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eastAsia="zh-CN"/>
              </w:rPr>
              <w:t>福州、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厦门辖区内省属医院产前筛查和产前诊断人员。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放射源诊疗技术和医用辐射机构许可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放射源诊疗技术和医用辐射机构许可_新证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1.《放射性同位素与射线装置安全和防护条例》第八条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2.《放射诊疗管理规定》第十一条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3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省卫健委</w:t>
            </w:r>
          </w:p>
        </w:tc>
        <w:tc>
          <w:tcPr>
            <w:tcW w:w="10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委托</w:t>
            </w:r>
          </w:p>
        </w:tc>
        <w:tc>
          <w:tcPr>
            <w:tcW w:w="16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1.开展“双随机、一公开”监管，发现违法违规行为要依法查处并公开结果。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2.依法及时处理投诉举报。</w:t>
            </w:r>
          </w:p>
        </w:tc>
        <w:tc>
          <w:tcPr>
            <w:tcW w:w="16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限于医疗机构执业许可证由福州、厦门市卫健委颁发，拟开展放射治疗或核医学放射诊疗工作的放射诊疗机构申请。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放射源诊疗技术和医用辐射机构许可_变更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放射源诊疗技术和医用辐射机构许可_变更_机构名称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放射源诊疗技术和医用辐射机构许可_变更_法定代表人或负责人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放射源诊疗技术和医用辐射机构许可_变更_地址（路名、门牌）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放射源诊疗技术和医用辐射机构许可_变更_场所、诊疗设备、诊疗项目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放射源诊疗技术和医用辐射机构许可_校验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放射源诊疗技术和医用辐射机构许可_注销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放射源诊疗技术和医用辐射机构许可_遗失补发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自贸区社会办医疗机构乙类大型医用设备配置备案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自贸区社会办医疗机构乙类大型医用设备配置备案_新证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1.《医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疗器械监督管理条例》第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四十八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2.《国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务院关于深化“证照分离”改革进一步激发市场主体发展活力的通知》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3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省卫健委</w:t>
            </w:r>
          </w:p>
        </w:tc>
        <w:tc>
          <w:tcPr>
            <w:tcW w:w="10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下放</w:t>
            </w:r>
          </w:p>
        </w:tc>
        <w:tc>
          <w:tcPr>
            <w:tcW w:w="16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1.开展“双随机、一公开”监管，发现违法违规行为要依法查处并公开结果。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2.依法及时处理投诉举报。</w:t>
            </w:r>
          </w:p>
        </w:tc>
        <w:tc>
          <w:tcPr>
            <w:tcW w:w="16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自贸区社会办医疗机构乙类大型医用设备配置备案_变更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自贸区社会办医疗机构乙类大型医用设备配置备案_变更_配置单位名称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自贸区社会办医疗机构乙类大型医用设备配置备案_变更_设备配置地址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/>
              </w:rPr>
              <w:t>自贸区社会办医疗机构乙类大型医用设备配置备案_变更_法定代表人（负责人）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自贸区社会办医疗机构乙类大型医用设备配置备案_遗失补发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中医医疗广告发布审查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《中华人民共和国中医药法》第十九条。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省卫健委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委托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1.开展“双随机、一公开”监管，发现违法违规行为要依法查处并公开结果。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2.依法及时处理投诉举报。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eastAsia="zh-CN"/>
              </w:rPr>
              <w:t>仅委托厦门市。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高致病性病原微生物菌（毒）种或样本运输审批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高致病性病原微生物菌（毒）种或样本运输审批_新证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《病原微生物实验室生物安全管理条例》第十一条第二款 。</w:t>
            </w:r>
          </w:p>
        </w:tc>
        <w:tc>
          <w:tcPr>
            <w:tcW w:w="13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省卫健委</w:t>
            </w:r>
          </w:p>
        </w:tc>
        <w:tc>
          <w:tcPr>
            <w:tcW w:w="10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委托</w:t>
            </w:r>
          </w:p>
        </w:tc>
        <w:tc>
          <w:tcPr>
            <w:tcW w:w="16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开展实验室生物安全检查，发现违法违规行为要依法查处。</w:t>
            </w:r>
          </w:p>
        </w:tc>
        <w:tc>
          <w:tcPr>
            <w:tcW w:w="16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eastAsia="zh-CN"/>
              </w:rPr>
              <w:t>仅委托厦门市。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在厦门行政区域内的单位，申请在我省行政区域内运输高致病性病原微生物菌(毒)种或者样本，由厦门市卫生健康委员会批准。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高致病性病原微生物菌（毒）种或样本运输审批_遗失补发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涉及饮用水卫生安全产品卫生许可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涉及饮用水卫生安全的产品卫生许可_新证 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涉及饮用水卫生安全的产品卫生许可_新证_国产 </w:t>
            </w:r>
          </w:p>
        </w:tc>
        <w:tc>
          <w:tcPr>
            <w:tcW w:w="17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《国务院对确需保留的行政审批项目设定行政许可的决定》第205项。</w:t>
            </w:r>
          </w:p>
        </w:tc>
        <w:tc>
          <w:tcPr>
            <w:tcW w:w="13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省卫健委</w:t>
            </w:r>
          </w:p>
        </w:tc>
        <w:tc>
          <w:tcPr>
            <w:tcW w:w="10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委托</w:t>
            </w:r>
          </w:p>
        </w:tc>
        <w:tc>
          <w:tcPr>
            <w:tcW w:w="16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1.开展“双随机、一公开”监管，发现违法违规行为要依法查处并公开结果。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2.依法及时处理投诉举报。</w:t>
            </w:r>
          </w:p>
        </w:tc>
        <w:tc>
          <w:tcPr>
            <w:tcW w:w="16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eastAsia="zh-CN"/>
              </w:rPr>
              <w:t>仅委托厦门市。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涉及饮用水卫生安全的产品卫生许可_新证_进口 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涉及饮用水卫生安全的产品卫生许可_延续 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涉及饮用水卫生安全的产品卫生许可_延续_国产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涉及饮用水卫生安全的产品卫生许可_延续_进口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涉及饮用水卫生安全的产品卫生许可_变更 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涉及饮用水卫生安全的产品卫生许可_变更_产品名称 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涉及饮用水卫生安全的产品卫生许可_变更_企业名称、地址（路名、门牌） 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涉及饮用水卫生安全的产品卫生许可_变更_增加实际生产地址或变更实际生产企业地址 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涉及饮用水卫生安全的产品卫生许可_变更_增加涉水产品规格、型号 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涉及饮用水卫生安全的产品卫生许可_变更_进口产品变更 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涉及饮用水卫生安全的产品卫生许可_注销 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涉及饮用水卫生安全的产品卫生许可_遗失补发 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3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1"/>
          <w:szCs w:val="31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7" w:right="1928" w:bottom="1587" w:left="1928" w:header="851" w:footer="850" w:gutter="0"/>
      <w:pgNumType w:fmt="decimal" w:start="4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50681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2022-09-06T03:05:41Z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B6F5C7EFB5A8470F916423C1EC93AFB5</vt:lpwstr>
  </property>
</Properties>
</file>