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3"/>
        <w:tblW w:w="13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981"/>
        <w:gridCol w:w="4530"/>
        <w:gridCol w:w="810"/>
        <w:gridCol w:w="4050"/>
        <w:gridCol w:w="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小标宋_GBK" w:cs="方正小标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广安市基本医疗保险DRG结合点数法付费年度考核评分表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6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医疗机构名称：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考核项目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考核指标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检查内容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医疗保险  基础管理（15分）</w:t>
            </w:r>
          </w:p>
        </w:tc>
        <w:tc>
          <w:tcPr>
            <w:tcW w:w="1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组织管理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成立院长牵头的DRG付费改革领导小组及工作小组，小组成员职责清晰、机制健全,有明确的分工和任务计划。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每项2.5分，少一项扣2.5分，存在显著不合理的，每发现一处扣0.1分，扣完为止。</w:t>
            </w:r>
          </w:p>
        </w:tc>
        <w:tc>
          <w:tcPr>
            <w:tcW w:w="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医院院内本年度开展4次及以上针对管理人员和医务人员DRG付费改革相关工作内部培训活动，提供培训活动的培训教材和照片等资料。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医院开通有效渠道，方便医生、编码员沟通，并指定专人负责与医保部门联系，及时将意见向医生、编码员反馈。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医院端作为数据信息的第一级审核单位，建立本院的数据信息审核机制，并组织实施。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制度建设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建立院内：1.DRG付费病案质量管理;2.临床路径管理;3.成本核算管理;4.数据规范安全管理机制;5.绩效考核制度建设。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每项1分，少一项扣1分，存在显著不合理或不完善的，每发现一处扣0.1分，扣完为止。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病案质量（15分）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1.出院患者信息上报及时性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/>
                <w:color w:val="auto"/>
                <w:lang w:val="en-US" w:eastAsia="zh-CN" w:bidi="ar"/>
              </w:rPr>
              <w:t>对于超过结算时间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15</w:t>
            </w:r>
            <w:r>
              <w:rPr>
                <w:rStyle w:val="5"/>
                <w:rFonts w:ascii="Times New Roman" w:hAnsi="Times New Roman"/>
                <w:color w:val="auto"/>
                <w:lang w:val="en-US" w:eastAsia="zh-CN" w:bidi="ar"/>
              </w:rPr>
              <w:t>个工作日上传的数据，计算该部分数据的总数。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每份病历每延迟1天，扣除0.1分，扣完为止。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2.病案数据入组率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入组率=入组病例数/纳入DRG管理的出院病例数。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入组率≥95%得5分，每低1%扣1分，扣完为止。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3.病案编码准确性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随机抽查入组病例编码的准确性。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抽查病例，核查其编码准确性，发现错误的，每例扣0.2分，扣完为止。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医疗服务能力（10分）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1.覆盖DRG组数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医院收治病例覆盖的DRG组数。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与医院上年度数据对比，每少10组扣0.5分，扣完为止；每增10组加0.5分，最高加分不超过1分。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2.医院CMI值变化率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医院CMI值变化率=（本年度CMI值-上一年度CMI值）/上一年度CMI值*100%。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与医院上年度相比每降低0.1扣1分，扣完为止；每增加0.1加1分，最高加分不超过2分。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资源使用效率（5分）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1.费用消耗指数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所有病例实际住院费用与标准住院费用总和的比值。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与医院上年度相比，每增加0.01的，扣0.5分，扣完为止；每减少0.01的，加0.5分，最高加分不超过1分。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2.时间消耗指数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所有病例实际住院天数与标准住院天数总和的比值。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与医院上年度相比，每增加0.01的，扣0.5分，扣完为止；每减少0.01的，加0.5分，最高加分不超过1分。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医疗质量（15分）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1.低风险组死亡率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用于度量医生住院医疗服务的安全质量。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低风险组死亡率为0得5分，每增加0.1%扣1分，扣完为止。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/>
                <w:color w:val="auto"/>
                <w:lang w:val="en-US" w:eastAsia="zh-CN" w:bidi="ar"/>
              </w:rPr>
              <w:t>2.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15天内再入院率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15</w:t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t>天内因同一疾病再次入院。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如无正当理由，每一例扣0.5分，扣完为止。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3.平均住院日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平均住院床日=实际占用床日/出院人次数。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与医院上年度进行比较，增加0.5天以内的不扣分，每增加0.5天扣0.5分，扣完为止；每减少0.5天加0.5分，最高加分不超过1分。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医疗行为(20分)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1.耗材、手术和药品条目规则违规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诊疗中使用耗材与手术不匹配，诊疗中使用药品与诊断不匹配，手术操作中手术与诊断不匹配。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每查实一例扣0.5分，扣完为止（含日常稽核）。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2.分解住院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/>
                <w:color w:val="auto"/>
                <w:lang w:val="en-US" w:eastAsia="zh-CN" w:bidi="ar"/>
              </w:rPr>
              <w:t>医院在住院患者尚未达到出院标准的前提下，为病人办理多次出院、住院手续的行为（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特殊情况除外</w:t>
            </w:r>
            <w:r>
              <w:rPr>
                <w:rStyle w:val="5"/>
                <w:rFonts w:ascii="Times New Roman" w:hAnsi="Times New Roman"/>
                <w:color w:val="auto"/>
                <w:lang w:val="en-US" w:eastAsia="zh-CN" w:bidi="ar"/>
              </w:rPr>
              <w:t>）。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每查实一例扣分0.5，扣完为止（含日常稽核）。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3.DRG高编高套行为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通过病例抽查发现调整主要诊断后提高所在组的权重分值，增加合并症与并发症个数，与原病例实际情况不符。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每发现1份，扣0.5分，扣完为止（含日常稽核发现病例）。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4.药品、医用耗材外购和转移诊疗费用情况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让病人或家属外购药品或医用耗材，将诊疗费用转移到门诊或其它途径。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每查实一例扣0.5分，扣完为止（含日常稽核发现病例）。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5.低标准入院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降低入院标准，如住院式体检等。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每查实一例扣0.5分，扣完为止（含日常稽核发现病例）。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费用控制（10分）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/>
                <w:color w:val="auto"/>
                <w:lang w:val="en-US" w:eastAsia="zh-CN" w:bidi="ar"/>
              </w:rPr>
              <w:t>1.</w:t>
            </w:r>
            <w:r>
              <w:rPr>
                <w:rStyle w:val="6"/>
                <w:rFonts w:ascii="Times New Roman" w:hAnsi="Times New Roman"/>
                <w:color w:val="auto"/>
                <w:lang w:val="en-US" w:eastAsia="zh-CN" w:bidi="ar"/>
              </w:rPr>
              <w:t>患者</w:t>
            </w:r>
            <w:r>
              <w:rPr>
                <w:rStyle w:val="5"/>
                <w:rFonts w:ascii="Times New Roman" w:hAnsi="Times New Roman"/>
                <w:color w:val="auto"/>
                <w:lang w:val="en-US" w:eastAsia="zh-CN" w:bidi="ar"/>
              </w:rPr>
              <w:t>实际补偿比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医疗机构年度住院参保人员实际发生支出统筹基金/年度住院总费用。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与上年相比，降低2%以内的不扣分，超过2%的，每降低1%扣0.5分，扣完为止；每增加1%加0.5分，最高加分不超过1分。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2.自费项目费用比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自费项目费用占总费用的比例。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全自费费用高于8%，每1%扣0.5分，扣完为止；低于8%，每1%加0.5分，最高加分不超过1分。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Style w:val="5"/>
                <w:rFonts w:ascii="Times New Roman" w:hAnsi="Times New Roman"/>
                <w:color w:val="auto"/>
                <w:lang w:val="en-US" w:eastAsia="zh-CN" w:bidi="ar"/>
              </w:rPr>
              <w:t>患者满意度（</w:t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t>10分</w:t>
            </w:r>
            <w:r>
              <w:rPr>
                <w:rStyle w:val="5"/>
                <w:rFonts w:ascii="Times New Roman" w:hAnsi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随机调查患者医疗服务满意程度。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评价“非常满意”的为10分，“满意”为8分，“一般”为5分，“不满意”为0分，通过多人平均得分确定分值。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6">
    <w:name w:val="font01"/>
    <w:basedOn w:val="4"/>
    <w:qFormat/>
    <w:uiPriority w:val="0"/>
    <w:rPr>
      <w:rFonts w:hint="eastAsia" w:ascii="方正仿宋_GBK" w:hAnsi="方正仿宋_GBK" w:eastAsia="方正仿宋_GBK" w:cs="方正仿宋_GBK"/>
      <w:color w:val="FF0000"/>
      <w:sz w:val="21"/>
      <w:szCs w:val="21"/>
      <w:u w:val="none"/>
    </w:rPr>
  </w:style>
  <w:style w:type="character" w:customStyle="1" w:styleId="7">
    <w:name w:val="font51"/>
    <w:basedOn w:val="4"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2022-08-29T02:36:58Z</dcterms:created>
  <dc:creator>Administrator</dc:creator>
  <cp:lastModifiedBy>Administrator</cp:lastModifiedBy>
  <dcterms:modified xsi:type="dcterms:W3CDTF">2022-08-29T02:37:53Z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