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2F" w:rsidRPr="00B108A5" w:rsidRDefault="005E032F" w:rsidP="005E032F">
      <w:pPr>
        <w:pStyle w:val="a7"/>
        <w:ind w:firstLine="0"/>
        <w:rPr>
          <w:rFonts w:ascii="方正小标宋简体" w:eastAsia="方正小标宋简体" w:hAnsi="方正小标宋简体"/>
          <w:bCs/>
          <w:szCs w:val="44"/>
        </w:rPr>
      </w:pPr>
      <w:bookmarkStart w:id="0" w:name="_GoBack"/>
      <w:bookmarkEnd w:id="0"/>
      <w:r w:rsidRPr="00B108A5">
        <w:rPr>
          <w:rFonts w:ascii="微软雅黑" w:eastAsia="微软雅黑" w:hAnsi="微软雅黑" w:cs="微软雅黑" w:hint="eastAsia"/>
          <w:bCs/>
          <w:szCs w:val="44"/>
        </w:rPr>
        <w:t>关于进一步做好我市医疗保障区域点数法</w:t>
      </w:r>
    </w:p>
    <w:p w:rsidR="005E032F" w:rsidRPr="00B108A5" w:rsidRDefault="005E032F" w:rsidP="005E032F">
      <w:pPr>
        <w:pStyle w:val="a7"/>
        <w:ind w:firstLine="0"/>
        <w:rPr>
          <w:rFonts w:ascii="华文中宋" w:eastAsia="华文中宋" w:hAnsi="华文中宋"/>
          <w:bCs/>
          <w:szCs w:val="44"/>
        </w:rPr>
      </w:pPr>
      <w:r w:rsidRPr="00B108A5">
        <w:rPr>
          <w:rFonts w:ascii="微软雅黑" w:eastAsia="微软雅黑" w:hAnsi="微软雅黑" w:cs="微软雅黑" w:hint="eastAsia"/>
          <w:bCs/>
          <w:szCs w:val="44"/>
        </w:rPr>
        <w:t>总额预算管理有关工作的通知</w:t>
      </w:r>
    </w:p>
    <w:p w:rsidR="005E032F" w:rsidRDefault="005E032F" w:rsidP="005E032F">
      <w:pPr>
        <w:adjustRightInd w:val="0"/>
        <w:ind w:firstLine="0"/>
        <w:jc w:val="center"/>
        <w:rPr>
          <w:rFonts w:ascii="Times New Roman" w:eastAsia="楷体_GB2312" w:hAnsi="Times New Roman" w:cs="楷体_GB2312"/>
          <w:sz w:val="32"/>
          <w:szCs w:val="32"/>
        </w:rPr>
      </w:pPr>
      <w:r>
        <w:rPr>
          <w:rFonts w:ascii="Times New Roman" w:eastAsia="楷体_GB2312" w:hAnsi="Times New Roman" w:cs="楷体_GB2312" w:hint="eastAsia"/>
          <w:sz w:val="32"/>
          <w:szCs w:val="32"/>
        </w:rPr>
        <w:t>（征求意见稿）</w:t>
      </w:r>
    </w:p>
    <w:p w:rsidR="005E032F" w:rsidRDefault="005E032F" w:rsidP="005E032F">
      <w:pPr>
        <w:pStyle w:val="2"/>
        <w:ind w:firstLineChars="0" w:firstLine="0"/>
        <w:rPr>
          <w:rFonts w:eastAsia="仿宋_GB2312"/>
          <w:sz w:val="32"/>
          <w:szCs w:val="32"/>
        </w:rPr>
      </w:pPr>
    </w:p>
    <w:p w:rsidR="005E032F" w:rsidRDefault="005E032F" w:rsidP="005E032F">
      <w:pPr>
        <w:adjustRightInd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天津市医疗保障区域点数法总额预算和按病种分值付费管理办法（试行）》（以下简称《点数法总额预算办法》），坚持共建共治共享原则，结合实际运行情况，现就进一步做好我市医疗保障区域点数法总额预算管理有关工作通知如下。</w:t>
      </w:r>
    </w:p>
    <w:p w:rsidR="005E032F" w:rsidRDefault="005E032F" w:rsidP="005E032F">
      <w:pPr>
        <w:adjustRightInd w:val="0"/>
        <w:ind w:firstLineChars="200" w:firstLine="640"/>
        <w:rPr>
          <w:rFonts w:ascii="黑体" w:eastAsia="黑体" w:hAnsi="黑体"/>
          <w:sz w:val="32"/>
          <w:szCs w:val="32"/>
        </w:rPr>
      </w:pPr>
      <w:r>
        <w:rPr>
          <w:rFonts w:ascii="黑体" w:eastAsia="黑体" w:hAnsi="黑体" w:hint="eastAsia"/>
          <w:sz w:val="32"/>
          <w:szCs w:val="32"/>
        </w:rPr>
        <w:t>一、完善区域点数法总额预算的结算管理</w:t>
      </w:r>
    </w:p>
    <w:p w:rsidR="005E032F" w:rsidRDefault="005E032F" w:rsidP="005E032F">
      <w:pPr>
        <w:adjustRightInd w:val="0"/>
        <w:ind w:firstLineChars="200" w:firstLine="640"/>
        <w:rPr>
          <w:rFonts w:eastAsia="仿宋_GB2312" w:cs="仿宋_GB2312"/>
          <w:sz w:val="32"/>
          <w:szCs w:val="32"/>
        </w:rPr>
      </w:pP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保经办机构将按月核定月度结算点值、月度结算额度，调整为按月核定协议年度内的</w:t>
      </w:r>
      <w:r>
        <w:rPr>
          <w:rFonts w:eastAsia="仿宋_GB2312" w:cs="仿宋_GB2312" w:hint="eastAsia"/>
          <w:sz w:val="32"/>
          <w:szCs w:val="32"/>
        </w:rPr>
        <w:t>累计结算点值、累计结算额度，并以当月累计结算额度为基础，核减</w:t>
      </w:r>
      <w:r>
        <w:rPr>
          <w:rFonts w:ascii="Times New Roman" w:eastAsia="仿宋_GB2312" w:hAnsi="Times New Roman" w:hint="eastAsia"/>
          <w:sz w:val="32"/>
          <w:szCs w:val="32"/>
        </w:rPr>
        <w:t>协议年度内</w:t>
      </w:r>
      <w:r>
        <w:rPr>
          <w:rFonts w:eastAsia="仿宋_GB2312" w:cs="仿宋_GB2312" w:hint="eastAsia"/>
          <w:sz w:val="32"/>
          <w:szCs w:val="32"/>
        </w:rPr>
        <w:t>累计已由个人负担的医药费用和上月</w:t>
      </w:r>
      <w:proofErr w:type="gramStart"/>
      <w:r>
        <w:rPr>
          <w:rFonts w:eastAsia="仿宋_GB2312" w:cs="仿宋_GB2312" w:hint="eastAsia"/>
          <w:sz w:val="32"/>
          <w:szCs w:val="32"/>
        </w:rPr>
        <w:t>医</w:t>
      </w:r>
      <w:proofErr w:type="gramEnd"/>
      <w:r>
        <w:rPr>
          <w:rFonts w:eastAsia="仿宋_GB2312" w:cs="仿宋_GB2312" w:hint="eastAsia"/>
          <w:sz w:val="32"/>
          <w:szCs w:val="32"/>
        </w:rPr>
        <w:t>保基金结算额度后，核定为当月</w:t>
      </w:r>
      <w:proofErr w:type="gramStart"/>
      <w:r>
        <w:rPr>
          <w:rFonts w:eastAsia="仿宋_GB2312" w:cs="仿宋_GB2312" w:hint="eastAsia"/>
          <w:sz w:val="32"/>
          <w:szCs w:val="32"/>
        </w:rPr>
        <w:t>医</w:t>
      </w:r>
      <w:proofErr w:type="gramEnd"/>
      <w:r>
        <w:rPr>
          <w:rFonts w:eastAsia="仿宋_GB2312" w:cs="仿宋_GB2312" w:hint="eastAsia"/>
          <w:sz w:val="32"/>
          <w:szCs w:val="32"/>
        </w:rPr>
        <w:t>保基金结算额度。其中，按项目付费的当月累计结算点值超出标准结算点值（即转化为点数前的价格）的，暂按标准结算点值核定</w:t>
      </w:r>
      <w:r>
        <w:rPr>
          <w:rFonts w:ascii="Times New Roman" w:eastAsia="仿宋_GB2312" w:hAnsi="Times New Roman" w:hint="eastAsia"/>
          <w:sz w:val="32"/>
          <w:szCs w:val="32"/>
        </w:rPr>
        <w:t>当月累计</w:t>
      </w:r>
      <w:r>
        <w:rPr>
          <w:rFonts w:eastAsia="仿宋_GB2312" w:cs="仿宋_GB2312" w:hint="eastAsia"/>
          <w:sz w:val="32"/>
          <w:szCs w:val="32"/>
        </w:rPr>
        <w:t>结算额度；年度累计结算点值超出标准结算点值的，根据管理考核结果依协议约定落实激励</w:t>
      </w:r>
      <w:r>
        <w:rPr>
          <w:rFonts w:eastAsia="仿宋_GB2312" w:cs="仿宋_GB2312"/>
          <w:sz w:val="32"/>
          <w:szCs w:val="32"/>
        </w:rPr>
        <w:t>约束</w:t>
      </w:r>
      <w:r>
        <w:rPr>
          <w:rFonts w:eastAsia="仿宋_GB2312" w:cs="仿宋_GB2312" w:hint="eastAsia"/>
          <w:sz w:val="32"/>
          <w:szCs w:val="32"/>
        </w:rPr>
        <w:t>机制。年初暂未分配至各机构类别的门诊药品购买总额，可根据定点医药机构间处方流转导致的超支情况，由年终统筹调剂使用调整为按月统筹调剂使用，并按时间进度核定可统筹调剂使用的限额。</w:t>
      </w:r>
    </w:p>
    <w:p w:rsidR="005E032F" w:rsidRDefault="005E032F" w:rsidP="005E032F">
      <w:pPr>
        <w:adjustRightInd w:val="0"/>
        <w:ind w:firstLineChars="200" w:firstLine="640"/>
        <w:rPr>
          <w:rFonts w:ascii="黑体" w:eastAsia="黑体" w:hAnsi="黑体"/>
          <w:sz w:val="32"/>
          <w:szCs w:val="32"/>
        </w:rPr>
      </w:pPr>
      <w:r>
        <w:rPr>
          <w:rFonts w:ascii="黑体" w:eastAsia="黑体" w:hAnsi="黑体" w:hint="eastAsia"/>
          <w:sz w:val="32"/>
          <w:szCs w:val="32"/>
        </w:rPr>
        <w:t>二、加快推进落实门诊付费点数调节机制</w:t>
      </w:r>
    </w:p>
    <w:p w:rsidR="005E032F" w:rsidRDefault="005E032F" w:rsidP="005E032F">
      <w:pPr>
        <w:adjustRightInd w:val="0"/>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保经办机构加快推进落实《点数法总额预算办法》第二十</w:t>
      </w:r>
      <w:r>
        <w:rPr>
          <w:rFonts w:ascii="Times New Roman" w:eastAsia="仿宋_GB2312" w:hAnsi="Times New Roman" w:hint="eastAsia"/>
          <w:sz w:val="32"/>
          <w:szCs w:val="32"/>
        </w:rPr>
        <w:lastRenderedPageBreak/>
        <w:t>一条规定，以往年实际运行数据为基础，结合定点医疗机构服务能力等情况，按照“量价挂钩”原则建立</w:t>
      </w:r>
      <w:bookmarkStart w:id="1" w:name="_Hlk75845705"/>
      <w:r>
        <w:rPr>
          <w:rFonts w:ascii="Times New Roman" w:eastAsia="仿宋_GB2312" w:hAnsi="Times New Roman" w:hint="eastAsia"/>
          <w:sz w:val="32"/>
          <w:szCs w:val="32"/>
        </w:rPr>
        <w:t>门诊医疗服务付费点数调节机制</w:t>
      </w:r>
      <w:bookmarkEnd w:id="1"/>
      <w:r>
        <w:rPr>
          <w:rFonts w:ascii="Times New Roman" w:eastAsia="仿宋_GB2312" w:hAnsi="Times New Roman" w:hint="eastAsia"/>
          <w:sz w:val="32"/>
          <w:szCs w:val="32"/>
        </w:rPr>
        <w:t>，实行</w:t>
      </w:r>
      <w:r>
        <w:rPr>
          <w:rFonts w:ascii="Times New Roman" w:eastAsia="仿宋_GB2312" w:hAnsi="Times New Roman"/>
          <w:sz w:val="32"/>
          <w:szCs w:val="32"/>
        </w:rPr>
        <w:t>区域总额预算控制与单家机构总额预算控制相结合</w:t>
      </w:r>
      <w:r>
        <w:rPr>
          <w:rFonts w:ascii="Times New Roman" w:eastAsia="仿宋_GB2312" w:hAnsi="Times New Roman" w:hint="eastAsia"/>
          <w:sz w:val="32"/>
          <w:szCs w:val="32"/>
        </w:rPr>
        <w:t>的管理机制</w:t>
      </w:r>
      <w:r>
        <w:rPr>
          <w:rFonts w:ascii="Times New Roman" w:eastAsia="仿宋_GB2312" w:hAnsi="Times New Roman"/>
          <w:sz w:val="32"/>
          <w:szCs w:val="32"/>
        </w:rPr>
        <w:t>，严控</w:t>
      </w:r>
      <w:r>
        <w:rPr>
          <w:rFonts w:ascii="Times New Roman" w:eastAsia="仿宋_GB2312" w:hAnsi="Times New Roman" w:hint="eastAsia"/>
          <w:sz w:val="32"/>
          <w:szCs w:val="32"/>
        </w:rPr>
        <w:t>单家</w:t>
      </w:r>
      <w:r>
        <w:rPr>
          <w:rFonts w:ascii="Times New Roman" w:eastAsia="仿宋_GB2312" w:hAnsi="Times New Roman"/>
          <w:sz w:val="32"/>
          <w:szCs w:val="32"/>
        </w:rPr>
        <w:t>医疗机构</w:t>
      </w:r>
      <w:r>
        <w:rPr>
          <w:rFonts w:ascii="Times New Roman" w:eastAsia="仿宋_GB2312" w:hAnsi="Times New Roman" w:hint="eastAsia"/>
          <w:sz w:val="32"/>
          <w:szCs w:val="32"/>
        </w:rPr>
        <w:t>的异常增长对某机构类别整体付费点</w:t>
      </w:r>
      <w:proofErr w:type="gramStart"/>
      <w:r>
        <w:rPr>
          <w:rFonts w:ascii="Times New Roman" w:eastAsia="仿宋_GB2312" w:hAnsi="Times New Roman" w:hint="eastAsia"/>
          <w:sz w:val="32"/>
          <w:szCs w:val="32"/>
        </w:rPr>
        <w:t>值造成</w:t>
      </w:r>
      <w:proofErr w:type="gramEnd"/>
      <w:r>
        <w:rPr>
          <w:rFonts w:ascii="Times New Roman" w:eastAsia="仿宋_GB2312" w:hAnsi="Times New Roman" w:hint="eastAsia"/>
          <w:sz w:val="32"/>
          <w:szCs w:val="32"/>
        </w:rPr>
        <w:t>的不良影响。经</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保经办机构征得同机构类别定点医疗机构多数同意，可</w:t>
      </w:r>
      <w:r>
        <w:rPr>
          <w:rFonts w:eastAsia="仿宋_GB2312" w:cs="仿宋_GB2312" w:hint="eastAsia"/>
          <w:sz w:val="32"/>
          <w:szCs w:val="32"/>
        </w:rPr>
        <w:t>将门诊药品付费点数一并纳入</w:t>
      </w:r>
      <w:r>
        <w:rPr>
          <w:rFonts w:eastAsia="仿宋_GB2312" w:hint="eastAsia"/>
          <w:sz w:val="32"/>
          <w:szCs w:val="32"/>
        </w:rPr>
        <w:t>“</w:t>
      </w:r>
      <w:r>
        <w:rPr>
          <w:rFonts w:eastAsia="仿宋_GB2312" w:cs="仿宋_GB2312" w:hint="eastAsia"/>
          <w:sz w:val="32"/>
          <w:szCs w:val="32"/>
        </w:rPr>
        <w:t>量价挂钩</w:t>
      </w:r>
      <w:r>
        <w:rPr>
          <w:rFonts w:eastAsia="仿宋_GB2312" w:hint="eastAsia"/>
          <w:sz w:val="32"/>
          <w:szCs w:val="32"/>
        </w:rPr>
        <w:t>”</w:t>
      </w:r>
      <w:r>
        <w:rPr>
          <w:rFonts w:eastAsia="仿宋_GB2312" w:cs="仿宋_GB2312" w:hint="eastAsia"/>
          <w:sz w:val="32"/>
          <w:szCs w:val="32"/>
        </w:rPr>
        <w:t>调节范围。</w:t>
      </w:r>
    </w:p>
    <w:p w:rsidR="005E032F" w:rsidRDefault="005E032F" w:rsidP="005E032F">
      <w:pPr>
        <w:adjustRightInd w:val="0"/>
        <w:ind w:firstLineChars="200" w:firstLine="640"/>
      </w:pPr>
      <w:r>
        <w:rPr>
          <w:rFonts w:ascii="Times New Roman" w:eastAsia="仿宋_GB2312" w:hAnsi="Times New Roman" w:hint="eastAsia"/>
          <w:sz w:val="32"/>
          <w:szCs w:val="32"/>
        </w:rPr>
        <w:t>本通知自印发之日起施行。其中，按月累计结算相关工作可根据</w:t>
      </w:r>
      <w:r>
        <w:rPr>
          <w:rFonts w:ascii="Times New Roman" w:eastAsia="仿宋_GB2312" w:hAnsi="Times New Roman" w:hint="eastAsia"/>
          <w:sz w:val="32"/>
          <w:szCs w:val="32"/>
        </w:rPr>
        <w:t>2</w:t>
      </w:r>
      <w:r>
        <w:rPr>
          <w:rFonts w:ascii="Times New Roman" w:eastAsia="仿宋_GB2312" w:hAnsi="Times New Roman"/>
          <w:sz w:val="32"/>
          <w:szCs w:val="32"/>
        </w:rPr>
        <w:t>022</w:t>
      </w:r>
      <w:proofErr w:type="gramStart"/>
      <w:r>
        <w:rPr>
          <w:rFonts w:ascii="Times New Roman" w:eastAsia="仿宋_GB2312" w:hAnsi="Times New Roman" w:hint="eastAsia"/>
          <w:sz w:val="32"/>
          <w:szCs w:val="32"/>
        </w:rPr>
        <w:t>医保协议</w:t>
      </w:r>
      <w:proofErr w:type="gramEnd"/>
      <w:r>
        <w:rPr>
          <w:rFonts w:ascii="Times New Roman" w:eastAsia="仿宋_GB2312" w:hAnsi="Times New Roman" w:hint="eastAsia"/>
          <w:sz w:val="32"/>
          <w:szCs w:val="32"/>
        </w:rPr>
        <w:t>年度周期追溯至</w:t>
      </w:r>
      <w:r>
        <w:rPr>
          <w:rFonts w:ascii="Times New Roman" w:eastAsia="仿宋_GB2312" w:hAnsi="Times New Roman" w:hint="eastAsia"/>
          <w:sz w:val="32"/>
          <w:szCs w:val="32"/>
        </w:rPr>
        <w:t>2</w:t>
      </w:r>
      <w:r>
        <w:rPr>
          <w:rFonts w:ascii="Times New Roman" w:eastAsia="仿宋_GB2312" w:hAnsi="Times New Roman"/>
          <w:sz w:val="32"/>
          <w:szCs w:val="32"/>
        </w:rPr>
        <w:t>022</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p>
    <w:p w:rsidR="00C34723" w:rsidRPr="005E032F" w:rsidRDefault="00C34723"/>
    <w:sectPr w:rsidR="00C34723" w:rsidRPr="005E032F">
      <w:footerReference w:type="default" r:id="rId7"/>
      <w:footerReference w:type="first" r:id="rId8"/>
      <w:pgSz w:w="11906" w:h="16838"/>
      <w:pgMar w:top="2098" w:right="1474" w:bottom="1984" w:left="1587" w:header="851" w:footer="992" w:gutter="0"/>
      <w:pgNumType w:fmt="numberInDash" w:start="2"/>
      <w:cols w:space="720"/>
      <w:rtlGutter/>
      <w:docGrid w:type="lines" w:linePitch="3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4F6" w:rsidRDefault="008624F6" w:rsidP="005E032F">
      <w:pPr>
        <w:spacing w:line="240" w:lineRule="auto"/>
      </w:pPr>
      <w:r>
        <w:separator/>
      </w:r>
    </w:p>
  </w:endnote>
  <w:endnote w:type="continuationSeparator" w:id="0">
    <w:p w:rsidR="008624F6" w:rsidRDefault="008624F6" w:rsidP="005E0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charset w:val="86"/>
    <w:family w:val="auto"/>
    <w:pitch w:val="default"/>
    <w:sig w:usb0="00000000"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00"/>
    <w:family w:val="auto"/>
    <w:pitch w:val="default"/>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BC" w:rsidRDefault="007C0F81">
    <w:pPr>
      <w:pStyle w:val="a5"/>
      <w:jc w:val="center"/>
      <w:rPr>
        <w:rFonts w:ascii="宋体"/>
        <w:sz w:val="28"/>
        <w:szCs w:val="28"/>
      </w:rPr>
    </w:pPr>
    <w:r>
      <w:rPr>
        <w:noProof/>
        <w:sz w:val="28"/>
      </w:rPr>
      <mc:AlternateContent>
        <mc:Choice Requires="wps">
          <w:drawing>
            <wp:anchor distT="0" distB="0" distL="113665" distR="113665" simplePos="0" relativeHeight="251659264" behindDoc="0" locked="0" layoutInCell="1" allowOverlap="1" wp14:anchorId="6689F3B2" wp14:editId="5556F3DE">
              <wp:simplePos x="0" y="0"/>
              <wp:positionH relativeFrom="margin">
                <wp:align>outside</wp:align>
              </wp:positionH>
              <wp:positionV relativeFrom="paragraph">
                <wp:posOffset>0</wp:posOffset>
              </wp:positionV>
              <wp:extent cx="600075" cy="367030"/>
              <wp:effectExtent l="0" t="0" r="0" b="0"/>
              <wp:wrapNone/>
              <wp:docPr id="1" name="文本框 5"/>
              <wp:cNvGraphicFramePr/>
              <a:graphic xmlns:a="http://schemas.openxmlformats.org/drawingml/2006/main">
                <a:graphicData uri="http://schemas.microsoft.com/office/word/2010/wordprocessingShape">
                  <wps:wsp>
                    <wps:cNvSpPr/>
                    <wps:spPr>
                      <a:xfrm>
                        <a:off x="0" y="0"/>
                        <a:ext cx="600075" cy="367030"/>
                      </a:xfrm>
                      <a:prstGeom prst="rect">
                        <a:avLst/>
                      </a:prstGeom>
                      <a:noFill/>
                      <a:ln w="6350" cap="flat" cmpd="sng">
                        <a:noFill/>
                        <a:prstDash val="solid"/>
                        <a:round/>
                      </a:ln>
                    </wps:spPr>
                    <wps:txbx>
                      <w:txbxContent>
                        <w:p w:rsidR="007B57BC" w:rsidRDefault="008624F6">
                          <w:pPr>
                            <w:pStyle w:val="a5"/>
                            <w:ind w:rightChars="100" w:right="210"/>
                          </w:pPr>
                        </w:p>
                      </w:txbxContent>
                    </wps:txbx>
                    <wps:bodyPr vert="horz" wrap="none" lIns="0" tIns="0" rIns="0" bIns="0" anchor="t" anchorCtr="0">
                      <a:spAutoFit/>
                    </wps:bodyPr>
                  </wps:wsp>
                </a:graphicData>
              </a:graphic>
            </wp:anchor>
          </w:drawing>
        </mc:Choice>
        <mc:Fallback>
          <w:pict>
            <v:rect w14:anchorId="6689F3B2" id="文本框 5" o:spid="_x0000_s1026" style="position:absolute;left:0;text-align:left;margin-left:-3.95pt;margin-top:0;width:47.25pt;height:28.9pt;z-index:251659264;visibility:visible;mso-wrap-style:none;mso-wrap-distance-left:8.95pt;mso-wrap-distance-top:0;mso-wrap-distance-right:8.95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" filled="f" stroked="f" strokeweight=".5pt">
              <v:stroke joinstyle="round"/>
              <v:textbox style="mso-fit-shape-to-text:t" inset="0,0,0,0">
                <w:txbxContent>
                  <w:p w:rsidR="007B57BC" w:rsidRDefault="007C0F81">
                    <w:pPr>
                      <w:pStyle w:val="a5"/>
                      <w:ind w:rightChars="100" w:right="210"/>
                    </w:pP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BC" w:rsidRDefault="007C0F81">
    <w:pPr>
      <w:pStyle w:val="a5"/>
    </w:pPr>
    <w:r>
      <w:fldChar w:fldCharType="begin"/>
    </w:r>
    <w:r>
      <w:instrText>Page</w:instrText>
    </w:r>
    <w:r>
      <w:fldChar w:fldCharType="separate"/>
    </w:r>
    <w:r>
      <w:t>- 1 -</w:t>
    </w:r>
    <w:r>
      <w:fldChar w:fldCharType="end"/>
    </w:r>
    <w:r>
      <w:fldChar w:fldCharType="begin"/>
    </w:r>
    <w:r>
      <w:instrText>NumPages</w:instrText>
    </w:r>
    <w:r>
      <w:fldChar w:fldCharType="separate"/>
    </w:r>
    <w:r>
      <w:t>4</w:t>
    </w:r>
    <w:r>
      <w:fldChar w:fldCharType="end"/>
    </w:r>
    <w:r>
      <w:fldChar w:fldCharType="begin"/>
    </w:r>
    <w:r>
      <w:instrText>Page</w:instrText>
    </w:r>
    <w:r>
      <w:fldChar w:fldCharType="separate"/>
    </w:r>
    <w:r>
      <w:t>- 1 -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4F6" w:rsidRDefault="008624F6" w:rsidP="005E032F">
      <w:pPr>
        <w:spacing w:line="240" w:lineRule="auto"/>
      </w:pPr>
      <w:r>
        <w:separator/>
      </w:r>
    </w:p>
  </w:footnote>
  <w:footnote w:type="continuationSeparator" w:id="0">
    <w:p w:rsidR="008624F6" w:rsidRDefault="008624F6" w:rsidP="005E03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C6"/>
    <w:rsid w:val="005E032F"/>
    <w:rsid w:val="007C0F81"/>
    <w:rsid w:val="008624F6"/>
    <w:rsid w:val="008C7F46"/>
    <w:rsid w:val="008F1790"/>
    <w:rsid w:val="00B108A5"/>
    <w:rsid w:val="00C34723"/>
    <w:rsid w:val="00D65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68E991-D21B-4448-826F-3DE27E2B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32F"/>
    <w:pPr>
      <w:widowControl w:val="0"/>
      <w:spacing w:line="578" w:lineRule="exact"/>
      <w:ind w:firstLine="72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32F"/>
    <w:pPr>
      <w:pBdr>
        <w:bottom w:val="single" w:sz="6" w:space="1" w:color="auto"/>
      </w:pBdr>
      <w:tabs>
        <w:tab w:val="center" w:pos="4153"/>
        <w:tab w:val="right" w:pos="8306"/>
      </w:tabs>
      <w:snapToGrid w:val="0"/>
      <w:spacing w:line="240" w:lineRule="auto"/>
      <w:ind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E032F"/>
    <w:rPr>
      <w:sz w:val="18"/>
      <w:szCs w:val="18"/>
    </w:rPr>
  </w:style>
  <w:style w:type="paragraph" w:styleId="a5">
    <w:name w:val="footer"/>
    <w:basedOn w:val="a"/>
    <w:link w:val="a6"/>
    <w:unhideWhenUsed/>
    <w:qFormat/>
    <w:rsid w:val="005E032F"/>
    <w:pPr>
      <w:tabs>
        <w:tab w:val="center" w:pos="4153"/>
        <w:tab w:val="right" w:pos="8306"/>
      </w:tabs>
      <w:snapToGrid w:val="0"/>
      <w:spacing w:line="240" w:lineRule="auto"/>
      <w:ind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E032F"/>
    <w:rPr>
      <w:sz w:val="18"/>
      <w:szCs w:val="18"/>
    </w:rPr>
  </w:style>
  <w:style w:type="paragraph" w:styleId="a7">
    <w:name w:val="Body Text"/>
    <w:basedOn w:val="a"/>
    <w:next w:val="a"/>
    <w:link w:val="a8"/>
    <w:qFormat/>
    <w:rsid w:val="005E032F"/>
    <w:pPr>
      <w:jc w:val="center"/>
    </w:pPr>
    <w:rPr>
      <w:sz w:val="44"/>
      <w:szCs w:val="20"/>
    </w:rPr>
  </w:style>
  <w:style w:type="character" w:customStyle="1" w:styleId="a8">
    <w:name w:val="正文文本 字符"/>
    <w:basedOn w:val="a0"/>
    <w:link w:val="a7"/>
    <w:rsid w:val="005E032F"/>
    <w:rPr>
      <w:rFonts w:ascii="Calibri" w:eastAsia="宋体" w:hAnsi="Calibri" w:cs="Times New Roman"/>
      <w:sz w:val="44"/>
      <w:szCs w:val="20"/>
    </w:rPr>
  </w:style>
  <w:style w:type="paragraph" w:styleId="a9">
    <w:name w:val="Body Text Indent"/>
    <w:basedOn w:val="a"/>
    <w:link w:val="aa"/>
    <w:uiPriority w:val="99"/>
    <w:semiHidden/>
    <w:unhideWhenUsed/>
    <w:rsid w:val="005E032F"/>
    <w:pPr>
      <w:spacing w:after="120"/>
      <w:ind w:leftChars="200" w:left="420"/>
    </w:pPr>
  </w:style>
  <w:style w:type="character" w:customStyle="1" w:styleId="aa">
    <w:name w:val="正文文本缩进 字符"/>
    <w:basedOn w:val="a0"/>
    <w:link w:val="a9"/>
    <w:uiPriority w:val="99"/>
    <w:semiHidden/>
    <w:rsid w:val="005E032F"/>
    <w:rPr>
      <w:rFonts w:ascii="Calibri" w:eastAsia="宋体" w:hAnsi="Calibri" w:cs="Times New Roman"/>
    </w:rPr>
  </w:style>
  <w:style w:type="paragraph" w:styleId="2">
    <w:name w:val="Body Text First Indent 2"/>
    <w:basedOn w:val="a9"/>
    <w:next w:val="a5"/>
    <w:link w:val="20"/>
    <w:qFormat/>
    <w:rsid w:val="005E032F"/>
    <w:pPr>
      <w:spacing w:after="0"/>
      <w:ind w:leftChars="0" w:left="0" w:firstLineChars="200" w:firstLine="200"/>
    </w:pPr>
    <w:rPr>
      <w:rFonts w:ascii="Times New Roman" w:hAnsi="Times New Roman"/>
      <w:szCs w:val="20"/>
    </w:rPr>
  </w:style>
  <w:style w:type="character" w:customStyle="1" w:styleId="20">
    <w:name w:val="正文首行缩进 2 字符"/>
    <w:basedOn w:val="aa"/>
    <w:link w:val="2"/>
    <w:rsid w:val="005E032F"/>
    <w:rPr>
      <w:rFonts w:ascii="Times New Roman" w:eastAsia="宋体" w:hAnsi="Times New Roman" w:cs="Times New Roman"/>
      <w:szCs w:val="20"/>
    </w:rPr>
  </w:style>
  <w:style w:type="paragraph" w:styleId="ab">
    <w:name w:val="Balloon Text"/>
    <w:basedOn w:val="a"/>
    <w:link w:val="ac"/>
    <w:uiPriority w:val="99"/>
    <w:semiHidden/>
    <w:unhideWhenUsed/>
    <w:rsid w:val="005E032F"/>
    <w:pPr>
      <w:spacing w:line="240" w:lineRule="auto"/>
    </w:pPr>
    <w:rPr>
      <w:sz w:val="18"/>
      <w:szCs w:val="18"/>
    </w:rPr>
  </w:style>
  <w:style w:type="character" w:customStyle="1" w:styleId="ac">
    <w:name w:val="批注框文本 字符"/>
    <w:basedOn w:val="a0"/>
    <w:link w:val="ab"/>
    <w:uiPriority w:val="99"/>
    <w:semiHidden/>
    <w:rsid w:val="005E032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CB422-77A4-48C9-971D-7BFE7E30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Tech-Winning</dc:creator>
  <cp:keywords/>
  <dc:description/>
  <cp:lastModifiedBy>Tech-Winning</cp:lastModifiedBy>
  <cp:revision>5</cp:revision>
  <dcterms:created xsi:type="dcterms:W3CDTF">2022-08-15T02:23:00Z</dcterms:created>
  <dcterms:modified xsi:type="dcterms:W3CDTF">2022-08-15T02:26:00Z</dcterms:modified>
</cp:coreProperties>
</file>