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51" w:rsidRDefault="00AB1F51" w:rsidP="00AB1F51">
      <w:pPr>
        <w:spacing w:line="360" w:lineRule="auto"/>
        <w:ind w:firstLineChars="200" w:firstLine="720"/>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以患者为中心的临床试验实施</w:t>
      </w:r>
      <w:r w:rsidR="002A1CB7">
        <w:rPr>
          <w:rFonts w:ascii="方正小标宋简体" w:eastAsia="方正小标宋简体" w:hAnsi="Calibri" w:cs="Times New Roman" w:hint="eastAsia"/>
          <w:sz w:val="36"/>
          <w:szCs w:val="36"/>
        </w:rPr>
        <w:t>技术</w:t>
      </w:r>
      <w:r w:rsidRPr="00D1261E">
        <w:rPr>
          <w:rFonts w:ascii="方正小标宋简体" w:eastAsia="方正小标宋简体" w:hAnsi="Calibri" w:cs="Times New Roman"/>
          <w:sz w:val="36"/>
          <w:szCs w:val="36"/>
        </w:rPr>
        <w:t>指导原则</w:t>
      </w:r>
    </w:p>
    <w:p w:rsidR="00AB1F51" w:rsidRPr="00D1261E" w:rsidRDefault="00AB1F51" w:rsidP="00AB1F51">
      <w:pPr>
        <w:spacing w:line="360" w:lineRule="auto"/>
        <w:ind w:firstLineChars="200" w:firstLine="720"/>
        <w:jc w:val="center"/>
        <w:rPr>
          <w:rFonts w:ascii="方正小标宋简体" w:eastAsia="方正小标宋简体"/>
          <w:sz w:val="36"/>
          <w:szCs w:val="36"/>
        </w:rPr>
      </w:pPr>
      <w:r w:rsidRPr="00D1261E">
        <w:rPr>
          <w:rFonts w:ascii="方正小标宋简体" w:eastAsia="方正小标宋简体" w:hAnsi="Calibri" w:cs="Times New Roman" w:hint="eastAsia"/>
          <w:sz w:val="36"/>
          <w:szCs w:val="36"/>
        </w:rPr>
        <w:t>起草说明</w:t>
      </w:r>
    </w:p>
    <w:p w:rsidR="00AB1F51" w:rsidRPr="00D1261E" w:rsidRDefault="00AB1F51" w:rsidP="00AB1F51">
      <w:pPr>
        <w:spacing w:line="360" w:lineRule="auto"/>
        <w:ind w:firstLineChars="200" w:firstLine="640"/>
        <w:rPr>
          <w:rFonts w:ascii="黑体" w:eastAsia="黑体" w:hAnsi="黑体" w:cs="Times New Roman"/>
          <w:color w:val="000000"/>
          <w:szCs w:val="32"/>
        </w:rPr>
      </w:pPr>
      <w:r w:rsidRPr="00D1261E">
        <w:rPr>
          <w:rFonts w:ascii="黑体" w:eastAsia="黑体" w:hAnsi="黑体" w:cs="Times New Roman" w:hint="eastAsia"/>
          <w:color w:val="000000"/>
          <w:szCs w:val="32"/>
        </w:rPr>
        <w:t>一、</w:t>
      </w:r>
      <w:r>
        <w:rPr>
          <w:rFonts w:ascii="黑体" w:eastAsia="黑体" w:hAnsi="黑体" w:cs="Times New Roman" w:hint="eastAsia"/>
          <w:color w:val="000000"/>
          <w:szCs w:val="32"/>
        </w:rPr>
        <w:t>起草</w:t>
      </w:r>
      <w:r w:rsidRPr="00D1261E">
        <w:rPr>
          <w:rFonts w:ascii="黑体" w:eastAsia="黑体" w:hAnsi="黑体" w:cs="Times New Roman" w:hint="eastAsia"/>
          <w:color w:val="000000"/>
          <w:szCs w:val="32"/>
        </w:rPr>
        <w:t>目的</w:t>
      </w:r>
    </w:p>
    <w:p w:rsidR="00AB1F51" w:rsidRPr="00D1181B" w:rsidRDefault="00AB1F51" w:rsidP="00AB1F51">
      <w:pPr>
        <w:spacing w:line="360" w:lineRule="auto"/>
        <w:ind w:firstLineChars="200" w:firstLine="640"/>
        <w:rPr>
          <w:rFonts w:ascii="Times New Roman" w:hAnsi="Times New Roman" w:cs="Times New Roman"/>
          <w:szCs w:val="32"/>
        </w:rPr>
      </w:pPr>
      <w:r w:rsidRPr="00A20DB4">
        <w:rPr>
          <w:rFonts w:ascii="Times New Roman" w:hAnsi="Times New Roman" w:cs="Times New Roman" w:hint="eastAsia"/>
          <w:szCs w:val="32"/>
        </w:rPr>
        <w:t>“以患者为中心”</w:t>
      </w:r>
      <w:r>
        <w:rPr>
          <w:rFonts w:ascii="Times New Roman" w:hAnsi="Times New Roman" w:cs="Times New Roman" w:hint="eastAsia"/>
          <w:szCs w:val="32"/>
        </w:rPr>
        <w:t>的药物研发</w:t>
      </w:r>
      <w:r w:rsidRPr="00A20DB4">
        <w:rPr>
          <w:rFonts w:ascii="Times New Roman" w:hAnsi="Times New Roman" w:cs="Times New Roman" w:hint="eastAsia"/>
          <w:szCs w:val="32"/>
        </w:rPr>
        <w:t>是指以患者需求为出发点、视患者为主动参与者、以临床价值为</w:t>
      </w:r>
      <w:r>
        <w:rPr>
          <w:rFonts w:ascii="Times New Roman" w:hAnsi="Times New Roman" w:cs="Times New Roman" w:hint="eastAsia"/>
          <w:szCs w:val="32"/>
        </w:rPr>
        <w:t>最终目的</w:t>
      </w:r>
      <w:r w:rsidRPr="00A20DB4">
        <w:rPr>
          <w:rFonts w:ascii="Times New Roman" w:hAnsi="Times New Roman" w:cs="Times New Roman" w:hint="eastAsia"/>
          <w:szCs w:val="32"/>
        </w:rPr>
        <w:t>，</w:t>
      </w:r>
      <w:r>
        <w:rPr>
          <w:rFonts w:ascii="Times New Roman" w:hAnsi="Times New Roman" w:cs="Times New Roman" w:hint="eastAsia"/>
          <w:szCs w:val="32"/>
        </w:rPr>
        <w:t>该</w:t>
      </w:r>
      <w:r w:rsidRPr="00A20DB4">
        <w:rPr>
          <w:rFonts w:ascii="Times New Roman" w:hAnsi="Times New Roman" w:cs="Times New Roman" w:hint="eastAsia"/>
          <w:szCs w:val="32"/>
        </w:rPr>
        <w:t>理念已成为当前药物研发的核心指导思想。</w:t>
      </w:r>
      <w:r>
        <w:rPr>
          <w:rFonts w:ascii="Times New Roman" w:hAnsi="Times New Roman" w:cs="Times New Roman" w:hint="eastAsia"/>
          <w:szCs w:val="32"/>
        </w:rPr>
        <w:t>为了指导以患者为中心的临床试验的实施，即实施更加患者可及、友好、便利的临床试验，</w:t>
      </w:r>
      <w:r w:rsidRPr="007129FA">
        <w:rPr>
          <w:rFonts w:ascii="Times New Roman" w:hAnsi="Times New Roman" w:cs="Times New Roman" w:hint="eastAsia"/>
          <w:szCs w:val="32"/>
        </w:rPr>
        <w:t>药品审评中心组织起草了</w:t>
      </w:r>
      <w:r>
        <w:rPr>
          <w:rFonts w:ascii="Times New Roman" w:hAnsi="Times New Roman" w:cs="Times New Roman" w:hint="eastAsia"/>
          <w:szCs w:val="32"/>
        </w:rPr>
        <w:t>《</w:t>
      </w:r>
      <w:r w:rsidRPr="007129FA">
        <w:rPr>
          <w:rFonts w:ascii="Times New Roman" w:hAnsi="Times New Roman" w:cs="Times New Roman" w:hint="eastAsia"/>
          <w:szCs w:val="32"/>
        </w:rPr>
        <w:t>以患者为中心的临床试验实施技术指导原则</w:t>
      </w:r>
      <w:r>
        <w:rPr>
          <w:rFonts w:ascii="Times New Roman" w:hAnsi="Times New Roman" w:cs="Times New Roman" w:hint="eastAsia"/>
          <w:szCs w:val="32"/>
        </w:rPr>
        <w:t>》，</w:t>
      </w:r>
      <w:r w:rsidRPr="00D1181B">
        <w:rPr>
          <w:rFonts w:ascii="Times New Roman" w:hAnsi="Times New Roman" w:cs="Times New Roman"/>
          <w:szCs w:val="32"/>
        </w:rPr>
        <w:t>旨在阐明以患者为中心的临床试验</w:t>
      </w:r>
      <w:r>
        <w:rPr>
          <w:rFonts w:ascii="Times New Roman" w:hAnsi="Times New Roman" w:cs="Times New Roman" w:hint="eastAsia"/>
          <w:szCs w:val="32"/>
        </w:rPr>
        <w:t>的</w:t>
      </w:r>
      <w:r w:rsidRPr="00D1181B">
        <w:rPr>
          <w:rFonts w:ascii="Times New Roman" w:hAnsi="Times New Roman" w:cs="Times New Roman"/>
          <w:szCs w:val="32"/>
        </w:rPr>
        <w:t>一般原则、临床试验实施</w:t>
      </w:r>
      <w:r>
        <w:rPr>
          <w:rFonts w:ascii="Times New Roman" w:hAnsi="Times New Roman" w:cs="Times New Roman" w:hint="eastAsia"/>
          <w:szCs w:val="32"/>
        </w:rPr>
        <w:t>整体和具体</w:t>
      </w:r>
      <w:r w:rsidRPr="00D1181B">
        <w:rPr>
          <w:rFonts w:ascii="Times New Roman" w:hAnsi="Times New Roman" w:cs="Times New Roman"/>
          <w:szCs w:val="32"/>
        </w:rPr>
        <w:t>环节中的考虑</w:t>
      </w:r>
      <w:r>
        <w:rPr>
          <w:rFonts w:ascii="Times New Roman" w:hAnsi="Times New Roman" w:cs="Times New Roman" w:hint="eastAsia"/>
          <w:szCs w:val="32"/>
        </w:rPr>
        <w:t>以</w:t>
      </w:r>
      <w:r w:rsidRPr="00D1181B">
        <w:rPr>
          <w:rFonts w:ascii="Times New Roman" w:hAnsi="Times New Roman" w:cs="Times New Roman"/>
          <w:szCs w:val="32"/>
        </w:rPr>
        <w:t>及其他注意事项，</w:t>
      </w:r>
      <w:r>
        <w:rPr>
          <w:rFonts w:ascii="Times New Roman" w:hAnsi="Times New Roman" w:cs="Times New Roman" w:hint="eastAsia"/>
          <w:szCs w:val="32"/>
        </w:rPr>
        <w:t>为临床试验实施提供指引和参考</w:t>
      </w:r>
      <w:r w:rsidRPr="00D1181B">
        <w:rPr>
          <w:rFonts w:ascii="Times New Roman" w:hAnsi="Times New Roman" w:cs="Times New Roman" w:hint="eastAsia"/>
          <w:szCs w:val="32"/>
        </w:rPr>
        <w:t>。</w:t>
      </w:r>
    </w:p>
    <w:p w:rsidR="00AB1F51" w:rsidRPr="005E61DC" w:rsidRDefault="00AB1F51" w:rsidP="00AB1F51">
      <w:pPr>
        <w:spacing w:line="360" w:lineRule="auto"/>
        <w:ind w:firstLineChars="200" w:firstLine="640"/>
        <w:rPr>
          <w:rFonts w:ascii="黑体" w:eastAsia="黑体" w:hAnsi="黑体" w:cs="Times New Roman"/>
          <w:color w:val="000000"/>
          <w:szCs w:val="32"/>
        </w:rPr>
      </w:pPr>
    </w:p>
    <w:p w:rsidR="00AB1F51" w:rsidRPr="00D1261E" w:rsidRDefault="00AB1F51" w:rsidP="00AB1F51">
      <w:pPr>
        <w:numPr>
          <w:ilvl w:val="0"/>
          <w:numId w:val="1"/>
        </w:numPr>
        <w:spacing w:line="360" w:lineRule="auto"/>
        <w:ind w:left="0" w:firstLineChars="200" w:firstLine="640"/>
        <w:rPr>
          <w:rFonts w:ascii="黑体" w:eastAsia="黑体" w:hAnsi="黑体" w:cs="Times New Roman"/>
          <w:color w:val="000000"/>
          <w:szCs w:val="32"/>
        </w:rPr>
      </w:pPr>
      <w:r w:rsidRPr="00D1261E">
        <w:rPr>
          <w:rFonts w:ascii="黑体" w:eastAsia="黑体" w:hAnsi="黑体" w:cs="Times New Roman" w:hint="eastAsia"/>
          <w:color w:val="000000"/>
          <w:szCs w:val="32"/>
        </w:rPr>
        <w:t>起草过程</w:t>
      </w:r>
    </w:p>
    <w:p w:rsidR="00AB1F51" w:rsidRPr="00D1261E" w:rsidRDefault="00AB1F51" w:rsidP="00AB1F51">
      <w:pPr>
        <w:spacing w:line="360" w:lineRule="auto"/>
        <w:ind w:firstLineChars="200" w:firstLine="640"/>
        <w:rPr>
          <w:rFonts w:ascii="仿宋" w:eastAsia="仿宋" w:hAnsi="仿宋" w:cs="Times New Roman"/>
          <w:b/>
          <w:color w:val="000000"/>
          <w:szCs w:val="32"/>
        </w:rPr>
      </w:pPr>
      <w:r w:rsidRPr="00D1261E">
        <w:rPr>
          <w:rFonts w:ascii="仿宋" w:eastAsia="仿宋" w:hAnsi="仿宋" w:cs="Times New Roman" w:hint="eastAsia"/>
          <w:color w:val="000000"/>
          <w:szCs w:val="32"/>
        </w:rPr>
        <w:t>本指导原则</w:t>
      </w:r>
      <w:r w:rsidRPr="00D1261E">
        <w:rPr>
          <w:rFonts w:ascii="仿宋" w:eastAsia="仿宋" w:hAnsi="仿宋" w:cs="Times New Roman"/>
          <w:color w:val="000000"/>
          <w:szCs w:val="32"/>
        </w:rPr>
        <w:t>由</w:t>
      </w:r>
      <w:r>
        <w:rPr>
          <w:rFonts w:ascii="仿宋" w:eastAsia="仿宋" w:hAnsi="仿宋" w:cs="Times New Roman" w:hint="eastAsia"/>
          <w:color w:val="000000"/>
          <w:szCs w:val="32"/>
        </w:rPr>
        <w:t>药审中心化药二部</w:t>
      </w:r>
      <w:r w:rsidRPr="00D1261E">
        <w:rPr>
          <w:rFonts w:ascii="仿宋" w:eastAsia="仿宋" w:hAnsi="仿宋" w:cs="Times New Roman"/>
          <w:color w:val="000000"/>
          <w:szCs w:val="32"/>
        </w:rPr>
        <w:t>牵头</w:t>
      </w:r>
      <w:r>
        <w:rPr>
          <w:rFonts w:ascii="仿宋" w:eastAsia="仿宋" w:hAnsi="仿宋" w:cs="Times New Roman" w:hint="eastAsia"/>
          <w:color w:val="000000"/>
          <w:szCs w:val="32"/>
        </w:rPr>
        <w:t>立项</w:t>
      </w:r>
      <w:r w:rsidRPr="00B2590D">
        <w:rPr>
          <w:rFonts w:ascii="仿宋" w:eastAsia="仿宋" w:hAnsi="仿宋" w:cs="Times New Roman"/>
          <w:color w:val="000000"/>
          <w:szCs w:val="32"/>
        </w:rPr>
        <w:t>。</w:t>
      </w:r>
      <w:r w:rsidRPr="00B2590D">
        <w:rPr>
          <w:rFonts w:ascii="仿宋" w:eastAsia="仿宋" w:hAnsi="仿宋" w:cs="Times New Roman" w:hint="eastAsia"/>
          <w:color w:val="000000"/>
          <w:szCs w:val="32"/>
        </w:rPr>
        <w:t>起</w:t>
      </w:r>
      <w:r>
        <w:rPr>
          <w:rFonts w:ascii="仿宋" w:eastAsia="仿宋" w:hAnsi="仿宋" w:cs="Times New Roman" w:hint="eastAsia"/>
          <w:color w:val="000000"/>
          <w:szCs w:val="32"/>
        </w:rPr>
        <w:t>草</w:t>
      </w:r>
      <w:r w:rsidRPr="00D1261E">
        <w:rPr>
          <w:rFonts w:ascii="仿宋" w:eastAsia="仿宋" w:hAnsi="仿宋" w:cs="Times New Roman"/>
          <w:color w:val="000000"/>
          <w:szCs w:val="32"/>
        </w:rPr>
        <w:t>工作自</w:t>
      </w:r>
      <w:r>
        <w:rPr>
          <w:rFonts w:ascii="仿宋" w:eastAsia="仿宋" w:hAnsi="仿宋" w:cs="Times New Roman"/>
          <w:color w:val="000000"/>
          <w:szCs w:val="32"/>
        </w:rPr>
        <w:t>2021</w:t>
      </w:r>
      <w:r w:rsidRPr="00D1261E">
        <w:rPr>
          <w:rFonts w:ascii="仿宋" w:eastAsia="仿宋" w:hAnsi="仿宋" w:cs="Times New Roman" w:hint="eastAsia"/>
          <w:color w:val="000000"/>
          <w:szCs w:val="32"/>
        </w:rPr>
        <w:t>年</w:t>
      </w:r>
      <w:r>
        <w:rPr>
          <w:rFonts w:ascii="仿宋" w:eastAsia="仿宋" w:hAnsi="仿宋" w:cs="Times New Roman"/>
          <w:color w:val="000000"/>
          <w:szCs w:val="32"/>
        </w:rPr>
        <w:t>6</w:t>
      </w:r>
      <w:r w:rsidRPr="00D1261E">
        <w:rPr>
          <w:rFonts w:ascii="仿宋" w:eastAsia="仿宋" w:hAnsi="仿宋" w:cs="Times New Roman" w:hint="eastAsia"/>
          <w:color w:val="000000"/>
          <w:szCs w:val="32"/>
        </w:rPr>
        <w:t>月</w:t>
      </w:r>
      <w:r>
        <w:rPr>
          <w:rFonts w:ascii="仿宋" w:eastAsia="仿宋" w:hAnsi="仿宋" w:cs="Times New Roman" w:hint="eastAsia"/>
          <w:color w:val="000000"/>
          <w:szCs w:val="32"/>
        </w:rPr>
        <w:t>末</w:t>
      </w:r>
      <w:r w:rsidRPr="00D1261E">
        <w:rPr>
          <w:rFonts w:ascii="仿宋" w:eastAsia="仿宋" w:hAnsi="仿宋" w:cs="Times New Roman"/>
          <w:color w:val="000000"/>
          <w:szCs w:val="32"/>
        </w:rPr>
        <w:t>启动，</w:t>
      </w:r>
      <w:r>
        <w:rPr>
          <w:rFonts w:ascii="仿宋" w:eastAsia="仿宋" w:hAnsi="仿宋" w:cs="Times New Roman" w:hint="eastAsia"/>
          <w:color w:val="000000"/>
          <w:szCs w:val="32"/>
        </w:rPr>
        <w:t>进行多方调研后于</w:t>
      </w:r>
      <w:r>
        <w:rPr>
          <w:rFonts w:ascii="仿宋" w:eastAsia="仿宋" w:hAnsi="仿宋" w:cs="Times New Roman"/>
          <w:color w:val="000000"/>
          <w:szCs w:val="32"/>
        </w:rPr>
        <w:t>2022</w:t>
      </w:r>
      <w:r w:rsidRPr="00D1261E">
        <w:rPr>
          <w:rFonts w:ascii="仿宋" w:eastAsia="仿宋" w:hAnsi="仿宋" w:cs="Times New Roman" w:hint="eastAsia"/>
          <w:color w:val="000000"/>
          <w:szCs w:val="32"/>
        </w:rPr>
        <w:t>年</w:t>
      </w:r>
      <w:r>
        <w:rPr>
          <w:rFonts w:ascii="仿宋" w:eastAsia="仿宋" w:hAnsi="仿宋" w:cs="Times New Roman" w:hint="eastAsia"/>
          <w:color w:val="000000"/>
          <w:szCs w:val="32"/>
        </w:rPr>
        <w:t>3</w:t>
      </w:r>
      <w:r w:rsidRPr="00D1261E">
        <w:rPr>
          <w:rFonts w:ascii="仿宋" w:eastAsia="仿宋" w:hAnsi="仿宋" w:cs="Times New Roman" w:hint="eastAsia"/>
          <w:color w:val="000000"/>
          <w:szCs w:val="32"/>
        </w:rPr>
        <w:t>月</w:t>
      </w:r>
      <w:r>
        <w:rPr>
          <w:rFonts w:ascii="仿宋" w:eastAsia="仿宋" w:hAnsi="仿宋" w:cs="Times New Roman" w:hint="eastAsia"/>
          <w:color w:val="000000"/>
          <w:szCs w:val="32"/>
        </w:rPr>
        <w:t>末</w:t>
      </w:r>
      <w:r w:rsidRPr="00D1261E">
        <w:rPr>
          <w:rFonts w:ascii="仿宋" w:eastAsia="仿宋" w:hAnsi="仿宋" w:cs="Times New Roman" w:hint="eastAsia"/>
          <w:color w:val="000000"/>
          <w:szCs w:val="32"/>
        </w:rPr>
        <w:t>形成</w:t>
      </w:r>
      <w:r>
        <w:rPr>
          <w:rFonts w:ascii="仿宋" w:eastAsia="仿宋" w:hAnsi="仿宋" w:cs="Times New Roman" w:hint="eastAsia"/>
          <w:color w:val="000000"/>
          <w:szCs w:val="32"/>
        </w:rPr>
        <w:t>大纲，5月中形成前期</w:t>
      </w:r>
      <w:r w:rsidRPr="00D1261E">
        <w:rPr>
          <w:rFonts w:ascii="仿宋" w:eastAsia="仿宋" w:hAnsi="仿宋" w:cs="Times New Roman"/>
          <w:color w:val="000000"/>
          <w:szCs w:val="32"/>
        </w:rPr>
        <w:t>初稿</w:t>
      </w:r>
      <w:r w:rsidRPr="00D1261E">
        <w:rPr>
          <w:rFonts w:ascii="仿宋" w:eastAsia="仿宋" w:hAnsi="仿宋" w:cs="Times New Roman" w:hint="eastAsia"/>
          <w:color w:val="000000"/>
          <w:szCs w:val="32"/>
        </w:rPr>
        <w:t>，</w:t>
      </w:r>
      <w:r>
        <w:rPr>
          <w:rStyle w:val="fontstyle01"/>
          <w:rFonts w:hint="default"/>
        </w:rPr>
        <w:t>在指导原则核心工作组内定期开会讨论。6月24日召开了第一次专家讨论会，邀请了研究者和业界代表对指导原则初稿进行了充分的讨论和交流，会后针对关键问题再次在核心工作组内展开讨论，并结合专家们的意见形成本征求意见稿。</w:t>
      </w:r>
    </w:p>
    <w:p w:rsidR="00AB1F51" w:rsidRDefault="00AB1F51" w:rsidP="00AB1F51">
      <w:pPr>
        <w:spacing w:line="360" w:lineRule="auto"/>
        <w:ind w:firstLineChars="200" w:firstLine="640"/>
        <w:rPr>
          <w:rFonts w:ascii="黑体" w:eastAsia="黑体" w:hAnsi="黑体" w:cs="Times New Roman"/>
          <w:color w:val="000000"/>
          <w:szCs w:val="32"/>
        </w:rPr>
      </w:pPr>
      <w:r w:rsidRPr="00D1261E">
        <w:rPr>
          <w:rFonts w:ascii="黑体" w:eastAsia="黑体" w:hAnsi="黑体" w:cs="Times New Roman" w:hint="eastAsia"/>
          <w:color w:val="000000"/>
          <w:szCs w:val="32"/>
        </w:rPr>
        <w:t>三、</w:t>
      </w:r>
      <w:r>
        <w:rPr>
          <w:rFonts w:ascii="黑体" w:eastAsia="黑体" w:hAnsi="黑体" w:cs="Times New Roman" w:hint="eastAsia"/>
          <w:color w:val="000000"/>
          <w:szCs w:val="32"/>
        </w:rPr>
        <w:t>起草思路</w:t>
      </w:r>
    </w:p>
    <w:p w:rsidR="00AB1F51" w:rsidRPr="00CD2001" w:rsidRDefault="00AB1F51" w:rsidP="00AB1F51">
      <w:pPr>
        <w:spacing w:line="360" w:lineRule="auto"/>
        <w:ind w:firstLineChars="200" w:firstLine="640"/>
        <w:rPr>
          <w:rFonts w:ascii="黑体" w:eastAsia="黑体" w:hAnsi="黑体" w:cs="Times New Roman"/>
          <w:color w:val="000000"/>
          <w:szCs w:val="32"/>
        </w:rPr>
      </w:pPr>
      <w:r w:rsidRPr="007B26BE">
        <w:rPr>
          <w:rFonts w:ascii="Times New Roman" w:hAnsi="Times New Roman" w:cs="Times New Roman" w:hint="eastAsia"/>
          <w:szCs w:val="32"/>
        </w:rPr>
        <w:t>国际人用药</w:t>
      </w:r>
      <w:r w:rsidRPr="007B26BE">
        <w:rPr>
          <w:rFonts w:ascii="Times New Roman" w:hAnsi="Times New Roman" w:cs="Times New Roman"/>
          <w:szCs w:val="32"/>
        </w:rPr>
        <w:t>品注册技术协调会（</w:t>
      </w:r>
      <w:r w:rsidRPr="007B26BE">
        <w:rPr>
          <w:rFonts w:ascii="Times New Roman" w:hAnsi="Times New Roman" w:cs="Times New Roman"/>
          <w:szCs w:val="32"/>
        </w:rPr>
        <w:t xml:space="preserve">International Council for </w:t>
      </w:r>
      <w:r w:rsidRPr="007B26BE">
        <w:rPr>
          <w:rFonts w:ascii="Times New Roman" w:hAnsi="Times New Roman" w:cs="Times New Roman"/>
          <w:szCs w:val="32"/>
        </w:rPr>
        <w:lastRenderedPageBreak/>
        <w:t>Harmonisation of Technical Requirements for Pharmaceuticals for Human Use</w:t>
      </w:r>
      <w:r w:rsidRPr="007B26BE">
        <w:rPr>
          <w:rFonts w:ascii="Times New Roman" w:hAnsi="Times New Roman" w:cs="Times New Roman"/>
          <w:szCs w:val="32"/>
        </w:rPr>
        <w:t>，</w:t>
      </w:r>
      <w:r w:rsidRPr="007B26BE">
        <w:rPr>
          <w:rFonts w:ascii="Times New Roman" w:hAnsi="Times New Roman" w:cs="Times New Roman"/>
          <w:szCs w:val="32"/>
        </w:rPr>
        <w:t>ICH)</w:t>
      </w:r>
      <w:r w:rsidRPr="007B26BE">
        <w:rPr>
          <w:rFonts w:ascii="Times New Roman" w:hAnsi="Times New Roman" w:cs="Times New Roman"/>
          <w:szCs w:val="32"/>
        </w:rPr>
        <w:t>以及美国食品药品监督管理局（</w:t>
      </w:r>
      <w:r w:rsidRPr="007B26BE">
        <w:rPr>
          <w:rFonts w:ascii="Times New Roman" w:hAnsi="Times New Roman" w:cs="Times New Roman"/>
          <w:szCs w:val="32"/>
        </w:rPr>
        <w:t>FDA</w:t>
      </w:r>
      <w:r w:rsidRPr="007B26BE">
        <w:rPr>
          <w:rFonts w:ascii="Times New Roman" w:hAnsi="Times New Roman" w:cs="Times New Roman"/>
          <w:szCs w:val="32"/>
        </w:rPr>
        <w:t>）等各国监管机构均在探索如何将</w:t>
      </w:r>
      <w:r w:rsidRPr="007B26BE">
        <w:rPr>
          <w:rFonts w:ascii="Times New Roman" w:hAnsi="Times New Roman" w:cs="Times New Roman"/>
          <w:szCs w:val="32"/>
        </w:rPr>
        <w:t>“</w:t>
      </w:r>
      <w:r w:rsidRPr="007B26BE">
        <w:rPr>
          <w:rFonts w:ascii="Times New Roman" w:hAnsi="Times New Roman" w:cs="Times New Roman"/>
          <w:szCs w:val="32"/>
        </w:rPr>
        <w:t>以患者为中心</w:t>
      </w:r>
      <w:r w:rsidRPr="007B26BE">
        <w:rPr>
          <w:rFonts w:ascii="Times New Roman" w:hAnsi="Times New Roman" w:cs="Times New Roman"/>
          <w:szCs w:val="32"/>
        </w:rPr>
        <w:t>”</w:t>
      </w:r>
      <w:r w:rsidRPr="007B26BE">
        <w:rPr>
          <w:rFonts w:ascii="Times New Roman" w:hAnsi="Times New Roman" w:cs="Times New Roman"/>
          <w:szCs w:val="32"/>
        </w:rPr>
        <w:t>作为核心指导思想，将患者的体验、观点和需求纳入到药品临床试验的设计、实施和获益</w:t>
      </w:r>
      <w:r w:rsidRPr="007B26BE">
        <w:rPr>
          <w:rFonts w:ascii="Times New Roman" w:hAnsi="Times New Roman" w:cs="Times New Roman"/>
          <w:szCs w:val="32"/>
        </w:rPr>
        <w:t>-</w:t>
      </w:r>
      <w:r w:rsidRPr="007B26BE">
        <w:rPr>
          <w:rFonts w:ascii="Times New Roman" w:hAnsi="Times New Roman" w:cs="Times New Roman"/>
          <w:szCs w:val="32"/>
        </w:rPr>
        <w:t>风险评估中。</w:t>
      </w:r>
      <w:r w:rsidRPr="00CD2001">
        <w:rPr>
          <w:rFonts w:ascii="Times New Roman" w:hAnsi="Times New Roman" w:cs="Times New Roman" w:hint="eastAsia"/>
          <w:szCs w:val="32"/>
        </w:rPr>
        <w:t>目前，我国也着力发展以患者为中心的药物临床研发，先后发布了《以临床价值为导向的抗肿瘤药物临床研发指导原则》、《患者报告结局在药物临床研究中应用的指导原则》、《罕见病药物临床研发技术指导原则》</w:t>
      </w:r>
      <w:r>
        <w:rPr>
          <w:rFonts w:ascii="Times New Roman" w:hAnsi="Times New Roman" w:cs="Times New Roman" w:hint="eastAsia"/>
          <w:szCs w:val="32"/>
        </w:rPr>
        <w:t>、《组织患者参与药物研发的一般考虑指导原则（征求意见稿）》</w:t>
      </w:r>
      <w:r w:rsidRPr="00CD2001">
        <w:rPr>
          <w:rFonts w:ascii="Times New Roman" w:hAnsi="Times New Roman" w:cs="Times New Roman" w:hint="eastAsia"/>
          <w:szCs w:val="32"/>
        </w:rPr>
        <w:t>等指导原则。</w:t>
      </w:r>
    </w:p>
    <w:p w:rsidR="00AB1F51" w:rsidRPr="005E61DC" w:rsidRDefault="00AB1F51" w:rsidP="00AB1F51">
      <w:pPr>
        <w:spacing w:line="360" w:lineRule="auto"/>
        <w:ind w:firstLineChars="200" w:firstLine="640"/>
        <w:rPr>
          <w:rFonts w:ascii="Times New Roman" w:hAnsi="Times New Roman" w:cs="Times New Roman"/>
          <w:szCs w:val="32"/>
        </w:rPr>
      </w:pPr>
      <w:r>
        <w:rPr>
          <w:rFonts w:ascii="Times New Roman" w:hAnsi="Times New Roman" w:cs="Times New Roman" w:hint="eastAsia"/>
          <w:szCs w:val="32"/>
        </w:rPr>
        <w:t>起草过程中，工作组</w:t>
      </w:r>
      <w:r w:rsidRPr="005E61DC">
        <w:rPr>
          <w:rFonts w:ascii="Times New Roman" w:hAnsi="Times New Roman" w:cs="Times New Roman" w:hint="eastAsia"/>
          <w:szCs w:val="32"/>
        </w:rPr>
        <w:t>通过查阅国内外监管法规指南及文献资料、</w:t>
      </w:r>
      <w:r>
        <w:rPr>
          <w:rFonts w:ascii="Times New Roman" w:hAnsi="Times New Roman" w:cs="Times New Roman" w:hint="eastAsia"/>
          <w:szCs w:val="32"/>
        </w:rPr>
        <w:t>组织</w:t>
      </w:r>
      <w:r w:rsidRPr="005E61DC">
        <w:rPr>
          <w:rFonts w:ascii="Times New Roman" w:hAnsi="Times New Roman" w:cs="Times New Roman" w:hint="eastAsia"/>
          <w:szCs w:val="32"/>
        </w:rPr>
        <w:t>专家讨论</w:t>
      </w:r>
      <w:r>
        <w:rPr>
          <w:rFonts w:ascii="Times New Roman" w:hAnsi="Times New Roman" w:cs="Times New Roman" w:hint="eastAsia"/>
          <w:szCs w:val="32"/>
        </w:rPr>
        <w:t>、患者问卷调研</w:t>
      </w:r>
      <w:r w:rsidRPr="005E61DC">
        <w:rPr>
          <w:rFonts w:ascii="Times New Roman" w:hAnsi="Times New Roman" w:cs="Times New Roman" w:hint="eastAsia"/>
          <w:szCs w:val="32"/>
        </w:rPr>
        <w:t>等方法，</w:t>
      </w:r>
      <w:r w:rsidRPr="006836A1">
        <w:rPr>
          <w:rFonts w:ascii="Times New Roman" w:hAnsi="Times New Roman" w:cs="Times New Roman"/>
          <w:szCs w:val="32"/>
        </w:rPr>
        <w:t>构建了</w:t>
      </w:r>
      <w:bookmarkStart w:id="0" w:name="_Hlk108429343"/>
      <w:r w:rsidRPr="006836A1">
        <w:rPr>
          <w:rFonts w:ascii="Times New Roman" w:hAnsi="Times New Roman" w:cs="Times New Roman"/>
          <w:szCs w:val="32"/>
        </w:rPr>
        <w:t>以患者为中心的药物临床试验</w:t>
      </w:r>
      <w:bookmarkStart w:id="1" w:name="_Hlk108429773"/>
      <w:r w:rsidRPr="006836A1">
        <w:rPr>
          <w:rFonts w:ascii="Times New Roman" w:hAnsi="Times New Roman" w:cs="Times New Roman"/>
          <w:szCs w:val="32"/>
        </w:rPr>
        <w:t>设计、实施和评价体系</w:t>
      </w:r>
      <w:bookmarkEnd w:id="1"/>
      <w:r w:rsidRPr="006836A1">
        <w:rPr>
          <w:rFonts w:ascii="Times New Roman" w:hAnsi="Times New Roman" w:cs="Times New Roman"/>
          <w:szCs w:val="32"/>
        </w:rPr>
        <w:t>的思路框架</w:t>
      </w:r>
      <w:bookmarkEnd w:id="0"/>
      <w:r>
        <w:rPr>
          <w:rFonts w:ascii="Times New Roman" w:hAnsi="Times New Roman" w:cs="Times New Roman" w:hint="eastAsia"/>
          <w:szCs w:val="32"/>
        </w:rPr>
        <w:t>。本指导原则提出以患者为中心的临床试验实施的一般原则，并提出临床试验实施过程中可能考虑采用的新技术、新方法及其相关风险考量。</w:t>
      </w:r>
    </w:p>
    <w:p w:rsidR="00AB1F51" w:rsidRPr="004C02FB" w:rsidRDefault="00AB1F51" w:rsidP="00AB1F51">
      <w:pPr>
        <w:spacing w:line="360" w:lineRule="auto"/>
        <w:ind w:firstLineChars="200" w:firstLine="640"/>
        <w:rPr>
          <w:rFonts w:ascii="黑体" w:eastAsia="黑体" w:hAnsi="黑体" w:cs="Times New Roman"/>
          <w:color w:val="000000"/>
          <w:szCs w:val="32"/>
        </w:rPr>
      </w:pPr>
    </w:p>
    <w:p w:rsidR="00AB1F51" w:rsidRPr="00D1261E" w:rsidRDefault="00AB1F51" w:rsidP="00AB1F51">
      <w:pPr>
        <w:adjustRightInd w:val="0"/>
        <w:snapToGrid w:val="0"/>
        <w:spacing w:line="360" w:lineRule="auto"/>
        <w:ind w:firstLineChars="200" w:firstLine="640"/>
        <w:jc w:val="left"/>
        <w:rPr>
          <w:rFonts w:ascii="黑体" w:eastAsia="黑体" w:hAnsi="黑体" w:cs="Times New Roman"/>
          <w:color w:val="000000"/>
          <w:szCs w:val="32"/>
        </w:rPr>
      </w:pPr>
      <w:r w:rsidRPr="005E61DC">
        <w:rPr>
          <w:rFonts w:ascii="黑体" w:eastAsia="黑体" w:hAnsi="黑体" w:cs="Times New Roman" w:hint="eastAsia"/>
          <w:color w:val="000000"/>
          <w:szCs w:val="32"/>
        </w:rPr>
        <w:t>四、主要内容</w:t>
      </w:r>
    </w:p>
    <w:p w:rsidR="00AB1F51" w:rsidRDefault="00AB1F51" w:rsidP="00AB1F51">
      <w:pPr>
        <w:adjustRightInd w:val="0"/>
        <w:snapToGrid w:val="0"/>
        <w:spacing w:line="360" w:lineRule="auto"/>
        <w:ind w:firstLineChars="200" w:firstLine="640"/>
        <w:jc w:val="left"/>
        <w:rPr>
          <w:rStyle w:val="fontstyle01"/>
          <w:rFonts w:hint="default"/>
        </w:rPr>
      </w:pPr>
      <w:r>
        <w:rPr>
          <w:rStyle w:val="fontstyle01"/>
          <w:rFonts w:hint="default"/>
        </w:rPr>
        <w:t>本指导原则主要分为五个章节，分别为引言、一般原则、临床试验实施中的考虑、其他注意事项、结语和参考文献。主要内容包括：</w:t>
      </w:r>
    </w:p>
    <w:p w:rsidR="00AB1F51" w:rsidRDefault="00AB1F51" w:rsidP="00AB1F51">
      <w:pPr>
        <w:adjustRightInd w:val="0"/>
        <w:snapToGrid w:val="0"/>
        <w:spacing w:line="360" w:lineRule="auto"/>
        <w:ind w:firstLineChars="200" w:firstLine="640"/>
        <w:jc w:val="left"/>
        <w:rPr>
          <w:rStyle w:val="fontstyle01"/>
          <w:rFonts w:hint="default"/>
        </w:rPr>
      </w:pPr>
      <w:r w:rsidRPr="00FC7542">
        <w:rPr>
          <w:rStyle w:val="fontstyle01"/>
          <w:rFonts w:hint="default"/>
        </w:rPr>
        <w:t>第一</w:t>
      </w:r>
      <w:r>
        <w:rPr>
          <w:rStyle w:val="fontstyle01"/>
          <w:rFonts w:hint="default"/>
        </w:rPr>
        <w:t>节 引言：主要阐述了本指导原则的背景、意义、</w:t>
      </w:r>
      <w:r>
        <w:rPr>
          <w:rStyle w:val="fontstyle01"/>
          <w:rFonts w:hint="default"/>
        </w:rPr>
        <w:lastRenderedPageBreak/>
        <w:t>患者体验数据的定义和以患者为中心的临床试验实施的内涵、本指导原则主要内容及适用范围。</w:t>
      </w:r>
    </w:p>
    <w:p w:rsidR="00AB1F51" w:rsidRDefault="00AB1F51" w:rsidP="00AB1F51">
      <w:pPr>
        <w:spacing w:line="360" w:lineRule="auto"/>
        <w:ind w:firstLineChars="200" w:firstLine="640"/>
        <w:rPr>
          <w:rStyle w:val="fontstyle01"/>
          <w:rFonts w:hint="default"/>
        </w:rPr>
      </w:pPr>
      <w:r>
        <w:rPr>
          <w:rStyle w:val="fontstyle01"/>
          <w:rFonts w:hint="default"/>
        </w:rPr>
        <w:t>第二节 一般原则：强调在遵循GCP的基本原则下，提出三个应重点关注的方面，即可采用一些新技术、新方法、新模式改善受试者体验、减轻受试者负担，同时应关注随之而引入的受试者安全和权益的保护、数据质量方面的风险。</w:t>
      </w:r>
    </w:p>
    <w:p w:rsidR="00AB1F51" w:rsidRDefault="00AB1F51" w:rsidP="00AB1F51">
      <w:pPr>
        <w:spacing w:line="360" w:lineRule="auto"/>
        <w:ind w:firstLineChars="200" w:firstLine="640"/>
        <w:rPr>
          <w:rStyle w:val="fontstyle01"/>
          <w:rFonts w:hint="default"/>
        </w:rPr>
      </w:pPr>
      <w:r>
        <w:rPr>
          <w:rStyle w:val="fontstyle01"/>
          <w:rFonts w:hint="default"/>
        </w:rPr>
        <w:t>第三节 临床试验实施中的考虑：分为两个部分。第一部分阐述了整体实施计划的考虑，包括采用新技术、新方法、新模式时应关注其必要性和合理性、应经过充分风险评估和论证、可采用完全或混合模式等考虑，避免盲目推进。第二部分阐述了临床试验实施中受试者招募、知情同意、访视、给药、采集数据、安全性监测和报告、监查、报销和补偿等八个环节中的考虑，每部分提出以患者为中心的临床试验实施中应考虑的原则、可采用的新模式以及采用新模式时可能引入的风险及考量，包括受试者权益和安全保护及数据质量可能面临的风险及其相应考量。</w:t>
      </w:r>
    </w:p>
    <w:p w:rsidR="00AB1F51" w:rsidRDefault="00AB1F51" w:rsidP="00AB1F51">
      <w:pPr>
        <w:spacing w:line="360" w:lineRule="auto"/>
        <w:ind w:firstLineChars="200" w:firstLine="640"/>
        <w:rPr>
          <w:rStyle w:val="fontstyle01"/>
          <w:rFonts w:hint="default"/>
        </w:rPr>
      </w:pPr>
      <w:r>
        <w:rPr>
          <w:rStyle w:val="fontstyle01"/>
          <w:rFonts w:hint="default"/>
        </w:rPr>
        <w:t>第四节 其他注意事项：分为两部分。第一部分阐述了实施中应加强多方的沟通，包括与受试者的沟通、团队各方的沟通及与审评机构进行沟通。第二部分阐述了对研究团队及受试者的培训和教育的重要性。</w:t>
      </w:r>
    </w:p>
    <w:p w:rsidR="0035764C" w:rsidRPr="00C43440" w:rsidRDefault="00AB1F51" w:rsidP="00C43440">
      <w:pPr>
        <w:spacing w:line="360" w:lineRule="auto"/>
        <w:ind w:firstLineChars="200" w:firstLine="640"/>
        <w:rPr>
          <w:rFonts w:ascii="仿宋" w:eastAsia="仿宋" w:hAnsi="仿宋" w:hint="eastAsia"/>
          <w:color w:val="000000"/>
          <w:szCs w:val="32"/>
        </w:rPr>
      </w:pPr>
      <w:r>
        <w:rPr>
          <w:rStyle w:val="fontstyle01"/>
          <w:rFonts w:hint="default"/>
        </w:rPr>
        <w:t>第五节 结语：对本指导原则进行了总结，并提出目前存在的困难和挑战及对未来的展望。</w:t>
      </w:r>
      <w:bookmarkStart w:id="2" w:name="_GoBack"/>
      <w:bookmarkEnd w:id="2"/>
    </w:p>
    <w:sectPr w:rsidR="0035764C" w:rsidRPr="00C43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46" w:rsidRDefault="00204946" w:rsidP="00B862C3">
      <w:r>
        <w:separator/>
      </w:r>
    </w:p>
  </w:endnote>
  <w:endnote w:type="continuationSeparator" w:id="0">
    <w:p w:rsidR="00204946" w:rsidRDefault="00204946" w:rsidP="00B8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46" w:rsidRDefault="00204946" w:rsidP="00B862C3">
      <w:r>
        <w:separator/>
      </w:r>
    </w:p>
  </w:footnote>
  <w:footnote w:type="continuationSeparator" w:id="0">
    <w:p w:rsidR="00204946" w:rsidRDefault="00204946" w:rsidP="00B862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7483"/>
    <w:multiLevelType w:val="singleLevel"/>
    <w:tmpl w:val="17957483"/>
    <w:lvl w:ilvl="0">
      <w:start w:val="2"/>
      <w:numFmt w:val="chineseCounting"/>
      <w:lvlText w:val="%1、"/>
      <w:lvlJc w:val="left"/>
      <w:pPr>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51"/>
    <w:rsid w:val="00001D41"/>
    <w:rsid w:val="00006C04"/>
    <w:rsid w:val="0001134B"/>
    <w:rsid w:val="000139EF"/>
    <w:rsid w:val="00022BA9"/>
    <w:rsid w:val="0006003D"/>
    <w:rsid w:val="0007018B"/>
    <w:rsid w:val="00085D5C"/>
    <w:rsid w:val="000B16CB"/>
    <w:rsid w:val="000B67CE"/>
    <w:rsid w:val="000C5FFE"/>
    <w:rsid w:val="000C7AB9"/>
    <w:rsid w:val="000D29CD"/>
    <w:rsid w:val="000E4488"/>
    <w:rsid w:val="000E67A1"/>
    <w:rsid w:val="000F64BA"/>
    <w:rsid w:val="001051EE"/>
    <w:rsid w:val="0010579F"/>
    <w:rsid w:val="0012219F"/>
    <w:rsid w:val="001276ED"/>
    <w:rsid w:val="0013509F"/>
    <w:rsid w:val="00142B42"/>
    <w:rsid w:val="001775B1"/>
    <w:rsid w:val="00196126"/>
    <w:rsid w:val="001B075B"/>
    <w:rsid w:val="001B48CE"/>
    <w:rsid w:val="001B5D15"/>
    <w:rsid w:val="001C5DBC"/>
    <w:rsid w:val="001D5412"/>
    <w:rsid w:val="001E51F4"/>
    <w:rsid w:val="00204946"/>
    <w:rsid w:val="00212EB3"/>
    <w:rsid w:val="00222962"/>
    <w:rsid w:val="0022433D"/>
    <w:rsid w:val="00224A58"/>
    <w:rsid w:val="00233506"/>
    <w:rsid w:val="00240BF0"/>
    <w:rsid w:val="00246652"/>
    <w:rsid w:val="0028351F"/>
    <w:rsid w:val="00283B13"/>
    <w:rsid w:val="002A1CB7"/>
    <w:rsid w:val="002A3569"/>
    <w:rsid w:val="002B3150"/>
    <w:rsid w:val="002D13B2"/>
    <w:rsid w:val="002D6715"/>
    <w:rsid w:val="002F63B0"/>
    <w:rsid w:val="003175D5"/>
    <w:rsid w:val="0035764C"/>
    <w:rsid w:val="00360D5D"/>
    <w:rsid w:val="00364DA4"/>
    <w:rsid w:val="00364F28"/>
    <w:rsid w:val="00366E9C"/>
    <w:rsid w:val="00367894"/>
    <w:rsid w:val="00372032"/>
    <w:rsid w:val="003771A4"/>
    <w:rsid w:val="00380295"/>
    <w:rsid w:val="0038656A"/>
    <w:rsid w:val="003A562A"/>
    <w:rsid w:val="003A7CAE"/>
    <w:rsid w:val="003C2E76"/>
    <w:rsid w:val="003C6025"/>
    <w:rsid w:val="003D5AB6"/>
    <w:rsid w:val="003D5F4B"/>
    <w:rsid w:val="003E2D09"/>
    <w:rsid w:val="003E60A2"/>
    <w:rsid w:val="00410161"/>
    <w:rsid w:val="00417B81"/>
    <w:rsid w:val="00420F2C"/>
    <w:rsid w:val="00427B8A"/>
    <w:rsid w:val="004479B5"/>
    <w:rsid w:val="00450B7C"/>
    <w:rsid w:val="004574F0"/>
    <w:rsid w:val="0046493A"/>
    <w:rsid w:val="004749AB"/>
    <w:rsid w:val="004A32D5"/>
    <w:rsid w:val="004A4A12"/>
    <w:rsid w:val="004B529A"/>
    <w:rsid w:val="004D18AD"/>
    <w:rsid w:val="004D48CB"/>
    <w:rsid w:val="004E1809"/>
    <w:rsid w:val="004E63AA"/>
    <w:rsid w:val="004E6837"/>
    <w:rsid w:val="004F701A"/>
    <w:rsid w:val="004F78C5"/>
    <w:rsid w:val="00543F40"/>
    <w:rsid w:val="00560214"/>
    <w:rsid w:val="00576B39"/>
    <w:rsid w:val="00591300"/>
    <w:rsid w:val="005A12DB"/>
    <w:rsid w:val="005A47AB"/>
    <w:rsid w:val="005B2F1D"/>
    <w:rsid w:val="005D1F20"/>
    <w:rsid w:val="005D6E0B"/>
    <w:rsid w:val="005F71E9"/>
    <w:rsid w:val="00603234"/>
    <w:rsid w:val="00611362"/>
    <w:rsid w:val="006144E8"/>
    <w:rsid w:val="00616C9F"/>
    <w:rsid w:val="00620771"/>
    <w:rsid w:val="00642AB4"/>
    <w:rsid w:val="00665AAD"/>
    <w:rsid w:val="00693A6B"/>
    <w:rsid w:val="006A325F"/>
    <w:rsid w:val="006B275B"/>
    <w:rsid w:val="006C2005"/>
    <w:rsid w:val="006D049C"/>
    <w:rsid w:val="006D1B65"/>
    <w:rsid w:val="006D3923"/>
    <w:rsid w:val="006F1898"/>
    <w:rsid w:val="00710EE6"/>
    <w:rsid w:val="00712A78"/>
    <w:rsid w:val="007203E3"/>
    <w:rsid w:val="00733E49"/>
    <w:rsid w:val="00746659"/>
    <w:rsid w:val="00750DE6"/>
    <w:rsid w:val="0076735B"/>
    <w:rsid w:val="00771ABA"/>
    <w:rsid w:val="007839CB"/>
    <w:rsid w:val="00796C9F"/>
    <w:rsid w:val="007B1AC9"/>
    <w:rsid w:val="007C00FA"/>
    <w:rsid w:val="007C16CC"/>
    <w:rsid w:val="007D1073"/>
    <w:rsid w:val="007F490F"/>
    <w:rsid w:val="008130B6"/>
    <w:rsid w:val="00815D87"/>
    <w:rsid w:val="00832FC0"/>
    <w:rsid w:val="008337D1"/>
    <w:rsid w:val="00865037"/>
    <w:rsid w:val="00882FF6"/>
    <w:rsid w:val="00892659"/>
    <w:rsid w:val="008A06DF"/>
    <w:rsid w:val="008A6162"/>
    <w:rsid w:val="008B62E6"/>
    <w:rsid w:val="008D15F2"/>
    <w:rsid w:val="008E00D3"/>
    <w:rsid w:val="008E1479"/>
    <w:rsid w:val="008F6961"/>
    <w:rsid w:val="00901315"/>
    <w:rsid w:val="009039E9"/>
    <w:rsid w:val="00913294"/>
    <w:rsid w:val="009147EC"/>
    <w:rsid w:val="00924DBD"/>
    <w:rsid w:val="00926788"/>
    <w:rsid w:val="009370BA"/>
    <w:rsid w:val="00963E5E"/>
    <w:rsid w:val="00967017"/>
    <w:rsid w:val="00991E8F"/>
    <w:rsid w:val="00995ADD"/>
    <w:rsid w:val="009978DF"/>
    <w:rsid w:val="009B02C9"/>
    <w:rsid w:val="009C1418"/>
    <w:rsid w:val="009D747F"/>
    <w:rsid w:val="009E755E"/>
    <w:rsid w:val="00A115D5"/>
    <w:rsid w:val="00A23615"/>
    <w:rsid w:val="00A24E3C"/>
    <w:rsid w:val="00A35A21"/>
    <w:rsid w:val="00A54BD4"/>
    <w:rsid w:val="00A570B6"/>
    <w:rsid w:val="00A62C3C"/>
    <w:rsid w:val="00A74A6B"/>
    <w:rsid w:val="00A83E80"/>
    <w:rsid w:val="00A854B4"/>
    <w:rsid w:val="00AA6115"/>
    <w:rsid w:val="00AB1F51"/>
    <w:rsid w:val="00AB251D"/>
    <w:rsid w:val="00AC0F19"/>
    <w:rsid w:val="00AC1C23"/>
    <w:rsid w:val="00AC7DAD"/>
    <w:rsid w:val="00AF227F"/>
    <w:rsid w:val="00AF3BBC"/>
    <w:rsid w:val="00B11C74"/>
    <w:rsid w:val="00B2442D"/>
    <w:rsid w:val="00B2548D"/>
    <w:rsid w:val="00B313CF"/>
    <w:rsid w:val="00B4736B"/>
    <w:rsid w:val="00B65330"/>
    <w:rsid w:val="00B862C3"/>
    <w:rsid w:val="00B974DD"/>
    <w:rsid w:val="00BA0175"/>
    <w:rsid w:val="00BA286B"/>
    <w:rsid w:val="00BA549C"/>
    <w:rsid w:val="00BC2123"/>
    <w:rsid w:val="00BD5687"/>
    <w:rsid w:val="00BF0ABB"/>
    <w:rsid w:val="00BF4CF9"/>
    <w:rsid w:val="00BF4E23"/>
    <w:rsid w:val="00C219C7"/>
    <w:rsid w:val="00C42B9C"/>
    <w:rsid w:val="00C43440"/>
    <w:rsid w:val="00C6013C"/>
    <w:rsid w:val="00C663C2"/>
    <w:rsid w:val="00C70702"/>
    <w:rsid w:val="00C81A0C"/>
    <w:rsid w:val="00C86244"/>
    <w:rsid w:val="00C86701"/>
    <w:rsid w:val="00CA2674"/>
    <w:rsid w:val="00CB49AD"/>
    <w:rsid w:val="00CB74A2"/>
    <w:rsid w:val="00CB74AC"/>
    <w:rsid w:val="00CC1670"/>
    <w:rsid w:val="00CC202C"/>
    <w:rsid w:val="00CC6C6D"/>
    <w:rsid w:val="00CD2910"/>
    <w:rsid w:val="00CF36E3"/>
    <w:rsid w:val="00D121AD"/>
    <w:rsid w:val="00D2298D"/>
    <w:rsid w:val="00D276DC"/>
    <w:rsid w:val="00D37666"/>
    <w:rsid w:val="00D42C38"/>
    <w:rsid w:val="00D95EA0"/>
    <w:rsid w:val="00D97F96"/>
    <w:rsid w:val="00DA2D22"/>
    <w:rsid w:val="00DA793E"/>
    <w:rsid w:val="00DB22F4"/>
    <w:rsid w:val="00DC1C37"/>
    <w:rsid w:val="00DD5C2A"/>
    <w:rsid w:val="00DE40E6"/>
    <w:rsid w:val="00DE5E79"/>
    <w:rsid w:val="00DF17A0"/>
    <w:rsid w:val="00DF5205"/>
    <w:rsid w:val="00E054AF"/>
    <w:rsid w:val="00E451EC"/>
    <w:rsid w:val="00E5763E"/>
    <w:rsid w:val="00E57AE8"/>
    <w:rsid w:val="00E62360"/>
    <w:rsid w:val="00E653F1"/>
    <w:rsid w:val="00E66265"/>
    <w:rsid w:val="00E67614"/>
    <w:rsid w:val="00E770AB"/>
    <w:rsid w:val="00E963E3"/>
    <w:rsid w:val="00EA357B"/>
    <w:rsid w:val="00EA38DB"/>
    <w:rsid w:val="00ED735C"/>
    <w:rsid w:val="00F0233B"/>
    <w:rsid w:val="00F037A2"/>
    <w:rsid w:val="00F044DA"/>
    <w:rsid w:val="00F2134F"/>
    <w:rsid w:val="00F261A3"/>
    <w:rsid w:val="00F27C81"/>
    <w:rsid w:val="00F30F5D"/>
    <w:rsid w:val="00F4643E"/>
    <w:rsid w:val="00F5349F"/>
    <w:rsid w:val="00F5794D"/>
    <w:rsid w:val="00F645AC"/>
    <w:rsid w:val="00F749EA"/>
    <w:rsid w:val="00F8234D"/>
    <w:rsid w:val="00F95A42"/>
    <w:rsid w:val="00FA27CC"/>
    <w:rsid w:val="00FA2F66"/>
    <w:rsid w:val="00FB0EA1"/>
    <w:rsid w:val="00FC6963"/>
    <w:rsid w:val="00FD0F9B"/>
    <w:rsid w:val="00FD2725"/>
    <w:rsid w:val="00FD6FC2"/>
    <w:rsid w:val="00FE3566"/>
    <w:rsid w:val="00FF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E138F"/>
  <w15:chartTrackingRefBased/>
  <w15:docId w15:val="{06AB0D81-496A-4F90-AB4A-AACAC01A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51"/>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B1F51"/>
    <w:rPr>
      <w:rFonts w:ascii="仿宋" w:eastAsia="仿宋" w:hAnsi="仿宋" w:hint="eastAsia"/>
      <w:b w:val="0"/>
      <w:bCs w:val="0"/>
      <w:i w:val="0"/>
      <w:iCs w:val="0"/>
      <w:color w:val="000000"/>
      <w:sz w:val="32"/>
      <w:szCs w:val="32"/>
    </w:rPr>
  </w:style>
  <w:style w:type="paragraph" w:styleId="a3">
    <w:name w:val="header"/>
    <w:basedOn w:val="a"/>
    <w:link w:val="a4"/>
    <w:uiPriority w:val="99"/>
    <w:unhideWhenUsed/>
    <w:rsid w:val="00B862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62C3"/>
    <w:rPr>
      <w:rFonts w:eastAsia="仿宋_GB2312"/>
      <w:sz w:val="18"/>
      <w:szCs w:val="18"/>
    </w:rPr>
  </w:style>
  <w:style w:type="paragraph" w:styleId="a5">
    <w:name w:val="footer"/>
    <w:basedOn w:val="a"/>
    <w:link w:val="a6"/>
    <w:uiPriority w:val="99"/>
    <w:unhideWhenUsed/>
    <w:rsid w:val="00B862C3"/>
    <w:pPr>
      <w:tabs>
        <w:tab w:val="center" w:pos="4153"/>
        <w:tab w:val="right" w:pos="8306"/>
      </w:tabs>
      <w:snapToGrid w:val="0"/>
      <w:jc w:val="left"/>
    </w:pPr>
    <w:rPr>
      <w:sz w:val="18"/>
      <w:szCs w:val="18"/>
    </w:rPr>
  </w:style>
  <w:style w:type="character" w:customStyle="1" w:styleId="a6">
    <w:name w:val="页脚 字符"/>
    <w:basedOn w:val="a0"/>
    <w:link w:val="a5"/>
    <w:uiPriority w:val="99"/>
    <w:rsid w:val="00B862C3"/>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7F7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1287</Characters>
  <Application>Microsoft Office Word</Application>
  <DocSecurity>0</DocSecurity>
  <Lines>10</Lines>
  <Paragraphs>3</Paragraphs>
  <ScaleCrop>false</ScaleCrop>
  <Company>Microsoft</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钱思源</dc:creator>
  <cp:keywords/>
  <dc:description/>
  <cp:lastModifiedBy>韵文萍</cp:lastModifiedBy>
  <cp:revision>3</cp:revision>
  <dcterms:created xsi:type="dcterms:W3CDTF">2022-08-09T08:39:00Z</dcterms:created>
  <dcterms:modified xsi:type="dcterms:W3CDTF">2022-08-09T08:39:00Z</dcterms:modified>
</cp:coreProperties>
</file>