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8"/>
        <w:gridCol w:w="1993"/>
        <w:gridCol w:w="3797"/>
        <w:gridCol w:w="814"/>
        <w:gridCol w:w="1559"/>
        <w:gridCol w:w="3327"/>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14746" w:type="dxa"/>
            <w:gridSpan w:val="7"/>
            <w:tcBorders>
              <w:top w:val="nil"/>
              <w:left w:val="nil"/>
              <w:bottom w:val="single" w:color="auto" w:sz="12" w:space="0"/>
              <w:right w:val="nil"/>
            </w:tcBorders>
            <w:vAlign w:val="center"/>
          </w:tcPr>
          <w:p>
            <w:pPr>
              <w:snapToGrid w:val="0"/>
              <w:jc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b/>
                <w:bCs/>
                <w:color w:val="000000"/>
                <w:kern w:val="0"/>
                <w:sz w:val="32"/>
                <w:szCs w:val="32"/>
                <w:lang w:eastAsia="zh-CN"/>
              </w:rPr>
              <w:t>《公共场所卫生管理条例》、</w:t>
            </w:r>
            <w:r>
              <w:rPr>
                <w:rFonts w:ascii="Times New Roman" w:hAnsi="Times New Roman" w:eastAsia="仿宋_GB2312"/>
                <w:b/>
                <w:bCs/>
                <w:color w:val="000000"/>
                <w:kern w:val="0"/>
                <w:sz w:val="32"/>
                <w:szCs w:val="32"/>
              </w:rPr>
              <w:t>《公共场所卫生管理条例实施细则》</w:t>
            </w:r>
            <w:r>
              <w:rPr>
                <w:rFonts w:hint="eastAsia" w:ascii="Times New Roman" w:hAnsi="Times New Roman" w:eastAsia="仿宋_GB2312"/>
                <w:b/>
                <w:bCs/>
                <w:color w:val="000000"/>
                <w:kern w:val="0"/>
                <w:sz w:val="32"/>
                <w:szCs w:val="32"/>
                <w:lang w:val="en-US" w:eastAsia="zh-CN"/>
              </w:rPr>
              <w:t>行政处罚自由裁量基准制度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568" w:type="dxa"/>
            <w:vMerge w:val="restart"/>
            <w:tcBorders>
              <w:top w:val="single" w:color="auto" w:sz="12" w:space="0"/>
              <w:bottom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序号</w:t>
            </w:r>
          </w:p>
        </w:tc>
        <w:tc>
          <w:tcPr>
            <w:tcW w:w="1993" w:type="dxa"/>
            <w:vMerge w:val="restart"/>
            <w:tcBorders>
              <w:top w:val="single" w:color="auto" w:sz="12" w:space="0"/>
              <w:bottom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违法行为</w:t>
            </w:r>
          </w:p>
        </w:tc>
        <w:tc>
          <w:tcPr>
            <w:tcW w:w="3797" w:type="dxa"/>
            <w:vMerge w:val="restart"/>
            <w:tcBorders>
              <w:top w:val="single" w:color="auto" w:sz="12" w:space="0"/>
              <w:bottom w:val="single" w:color="auto" w:sz="12" w:space="0"/>
            </w:tcBorders>
            <w:vAlign w:val="center"/>
          </w:tcPr>
          <w:p>
            <w:pPr>
              <w:snapToGrid w:val="0"/>
              <w:spacing w:line="235" w:lineRule="auto"/>
              <w:jc w:val="center"/>
              <w:rPr>
                <w:rFonts w:hint="eastAsia" w:ascii="Times New Roman" w:hAnsi="Times New Roman" w:eastAsia="仿宋_GB2312"/>
                <w:color w:val="000000"/>
                <w:spacing w:val="-3"/>
                <w:kern w:val="0"/>
                <w:szCs w:val="21"/>
                <w:lang w:eastAsia="zh-CN"/>
              </w:rPr>
            </w:pPr>
            <w:r>
              <w:rPr>
                <w:rFonts w:hint="eastAsia" w:ascii="Times New Roman" w:hAnsi="Times New Roman" w:eastAsia="仿宋_GB2312"/>
                <w:color w:val="000000"/>
                <w:spacing w:val="-3"/>
                <w:kern w:val="0"/>
                <w:szCs w:val="21"/>
                <w:lang w:eastAsia="zh-CN"/>
              </w:rPr>
              <w:t>法律依据</w:t>
            </w:r>
          </w:p>
        </w:tc>
        <w:tc>
          <w:tcPr>
            <w:tcW w:w="814" w:type="dxa"/>
            <w:vMerge w:val="restart"/>
            <w:tcBorders>
              <w:top w:val="single" w:color="auto" w:sz="12" w:space="0"/>
              <w:bottom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裁量阶次</w:t>
            </w:r>
          </w:p>
        </w:tc>
        <w:tc>
          <w:tcPr>
            <w:tcW w:w="4886" w:type="dxa"/>
            <w:gridSpan w:val="2"/>
            <w:tcBorders>
              <w:top w:val="single" w:color="auto" w:sz="12" w:space="0"/>
              <w:bottom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裁量因素</w:t>
            </w:r>
          </w:p>
        </w:tc>
        <w:tc>
          <w:tcPr>
            <w:tcW w:w="2688" w:type="dxa"/>
            <w:vMerge w:val="restart"/>
            <w:tcBorders>
              <w:top w:val="single" w:color="auto" w:sz="12" w:space="0"/>
              <w:bottom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568" w:type="dxa"/>
            <w:vMerge w:val="continue"/>
            <w:tcBorders>
              <w:top w:val="single" w:color="auto" w:sz="12" w:space="0"/>
            </w:tcBorders>
            <w:vAlign w:val="center"/>
          </w:tcPr>
          <w:p>
            <w:pPr>
              <w:snapToGrid w:val="0"/>
              <w:rPr>
                <w:rFonts w:ascii="Times New Roman" w:hAnsi="Times New Roman" w:eastAsia="仿宋_GB2312"/>
                <w:color w:val="000000"/>
                <w:kern w:val="0"/>
                <w:szCs w:val="21"/>
              </w:rPr>
            </w:pPr>
          </w:p>
        </w:tc>
        <w:tc>
          <w:tcPr>
            <w:tcW w:w="1993" w:type="dxa"/>
            <w:vMerge w:val="continue"/>
            <w:tcBorders>
              <w:top w:val="single" w:color="auto" w:sz="12" w:space="0"/>
            </w:tcBorders>
            <w:vAlign w:val="center"/>
          </w:tcPr>
          <w:p>
            <w:pPr>
              <w:snapToGrid w:val="0"/>
              <w:rPr>
                <w:rFonts w:ascii="Times New Roman" w:hAnsi="Times New Roman" w:eastAsia="仿宋_GB2312"/>
                <w:color w:val="000000"/>
                <w:kern w:val="0"/>
                <w:szCs w:val="21"/>
              </w:rPr>
            </w:pPr>
          </w:p>
        </w:tc>
        <w:tc>
          <w:tcPr>
            <w:tcW w:w="3797" w:type="dxa"/>
            <w:vMerge w:val="continue"/>
            <w:tcBorders>
              <w:top w:val="single" w:color="auto" w:sz="12" w:space="0"/>
            </w:tcBorders>
            <w:vAlign w:val="center"/>
          </w:tcPr>
          <w:p>
            <w:pPr>
              <w:snapToGrid w:val="0"/>
              <w:spacing w:line="235" w:lineRule="auto"/>
              <w:rPr>
                <w:rFonts w:ascii="Times New Roman" w:hAnsi="Times New Roman" w:eastAsia="仿宋_GB2312"/>
                <w:color w:val="000000"/>
                <w:spacing w:val="-3"/>
                <w:kern w:val="0"/>
                <w:szCs w:val="21"/>
              </w:rPr>
            </w:pPr>
          </w:p>
        </w:tc>
        <w:tc>
          <w:tcPr>
            <w:tcW w:w="814" w:type="dxa"/>
            <w:vMerge w:val="continue"/>
            <w:tcBorders>
              <w:top w:val="single" w:color="auto" w:sz="12" w:space="0"/>
            </w:tcBorders>
            <w:vAlign w:val="center"/>
          </w:tcPr>
          <w:p>
            <w:pPr>
              <w:snapToGrid w:val="0"/>
              <w:rPr>
                <w:rFonts w:ascii="Times New Roman" w:hAnsi="Times New Roman" w:eastAsia="仿宋_GB2312"/>
                <w:color w:val="000000"/>
                <w:kern w:val="0"/>
                <w:szCs w:val="21"/>
              </w:rPr>
            </w:pPr>
          </w:p>
        </w:tc>
        <w:tc>
          <w:tcPr>
            <w:tcW w:w="1559" w:type="dxa"/>
            <w:tcBorders>
              <w:top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法定裁量因素</w:t>
            </w:r>
          </w:p>
        </w:tc>
        <w:tc>
          <w:tcPr>
            <w:tcW w:w="3327" w:type="dxa"/>
            <w:tcBorders>
              <w:top w:val="single" w:color="auto" w:sz="12" w:space="0"/>
            </w:tcBorders>
            <w:vAlign w:val="center"/>
          </w:tcPr>
          <w:p>
            <w:pPr>
              <w:snapToGrid w:val="0"/>
              <w:jc w:val="center"/>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酌定裁量因素</w:t>
            </w:r>
          </w:p>
        </w:tc>
        <w:tc>
          <w:tcPr>
            <w:tcW w:w="2688" w:type="dxa"/>
            <w:vMerge w:val="continue"/>
            <w:tcBorders>
              <w:top w:val="single" w:color="auto" w:sz="12" w:space="0"/>
            </w:tcBorders>
            <w:vAlign w:val="center"/>
          </w:tcPr>
          <w:p>
            <w:pPr>
              <w:snapToGrid w:val="0"/>
              <w:rPr>
                <w:rFonts w:ascii="Times New Roman" w:hAnsi="Times New Roman" w:eastAsia="仿宋_GB2312"/>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568"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1</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未依法取得公共场所卫生许可证擅自营业的。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《公共场所卫生管理条例》（以下简称《条例》）第八条　除公园、体育场（馆）、公共交通工具外的公共场所，经营单位应当及时向卫生行政部门申请办理“卫生许可证”。</w:t>
            </w:r>
          </w:p>
          <w:p>
            <w:pPr>
              <w:snapToGrid w:val="0"/>
              <w:ind w:firstLine="420" w:firstLineChars="200"/>
              <w:rPr>
                <w:rFonts w:hint="eastAsia" w:ascii="Times New Roman" w:hAnsi="Times New Roman" w:eastAsia="仿宋_GB2312"/>
                <w:color w:val="000000"/>
                <w:kern w:val="0"/>
                <w:sz w:val="21"/>
                <w:szCs w:val="21"/>
                <w:lang w:eastAsia="zh-CN"/>
              </w:rPr>
            </w:pPr>
            <w:r>
              <w:rPr>
                <w:rFonts w:ascii="Times New Roman" w:hAnsi="Times New Roman" w:eastAsia="仿宋_GB2312"/>
                <w:color w:val="000000"/>
                <w:kern w:val="0"/>
                <w:sz w:val="21"/>
                <w:szCs w:val="21"/>
              </w:rPr>
              <w:t>《公共场所卫生管理条例实施细则》</w:t>
            </w:r>
            <w:r>
              <w:rPr>
                <w:rFonts w:hint="eastAsia" w:ascii="Times New Roman" w:hAnsi="Times New Roman" w:eastAsia="仿宋_GB2312"/>
                <w:color w:val="000000"/>
                <w:kern w:val="0"/>
                <w:sz w:val="21"/>
                <w:szCs w:val="21"/>
                <w:lang w:eastAsia="zh-CN"/>
              </w:rPr>
              <w:t>（以下简称《细则》）第二十二条第二款</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lang w:eastAsia="zh-CN"/>
              </w:rPr>
              <w:t>公共场所经营者取得工商行政管理部门颁发的营业执照后，还应当按照规定向县级以上地方人民政府卫生计生行政部门申请卫生许可证，方可营业。</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依据条款：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s="Times New Roman"/>
                <w:color w:val="000000"/>
                <w:kern w:val="0"/>
                <w:sz w:val="21"/>
                <w:szCs w:val="21"/>
                <w:lang w:val="en-US" w:eastAsia="zh-CN" w:bidi="ar-SA"/>
              </w:rPr>
              <w:t xml:space="preserve">第十四条第（四）项　凡有下列行为之一的单位或者个人，卫生防疫机构可以根据情节轻重，给予警告、罚款、停业整顿、吊销“卫生许可证”的行政处罚：（四）未取得“卫生许可证”，擅自营业的。  </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kern w:val="0"/>
                <w:szCs w:val="21"/>
              </w:rPr>
            </w:pPr>
            <w:r>
              <w:rPr>
                <w:rFonts w:ascii="Times New Roman" w:hAnsi="Times New Roman" w:eastAsia="仿宋_GB2312"/>
                <w:color w:val="000000"/>
                <w:kern w:val="0"/>
                <w:sz w:val="21"/>
                <w:szCs w:val="21"/>
              </w:rPr>
              <w:t>《细则》第三十五条:对未依法取得公共场所卫生许可证擅自营业的，由县级以上地方人民政府卫生计生行政部门责令限期改正，给予警告，并处以五百元以上五千元以下罚款；有下列情形之一的，处以五千元以上三万元以下罚款:（一）擅自营业曾受过卫生计生行政部门处罚的；（二）擅自营业时间在三个月以上的；（三）以涂改、转让、倒卖、伪造的卫生许可证擅自营业的。</w:t>
            </w: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auto"/>
                <w:kern w:val="0"/>
                <w:szCs w:val="21"/>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val="en-US" w:eastAsia="zh-CN"/>
                <w14:textFill>
                  <w14:gradFill>
                    <w14:gsLst>
                      <w14:gs w14:pos="0">
                        <w14:srgbClr w14:val="012D86"/>
                      </w14:gs>
                      <w14:gs w14:pos="100000">
                        <w14:srgbClr w14:val="0E2557"/>
                      </w14:gs>
                    </w14:gsLst>
                    <w14:lin w14:scaled="0"/>
                  </w14:gradFill>
                </w14:textFill>
              </w:rPr>
              <w:t>不予行政处罚</w:t>
            </w:r>
          </w:p>
        </w:tc>
        <w:tc>
          <w:tcPr>
            <w:tcW w:w="3327" w:type="dxa"/>
            <w:vAlign w:val="center"/>
          </w:tcPr>
          <w:p>
            <w:pPr>
              <w:snapToGrid w:val="0"/>
              <w:rPr>
                <w:rFonts w:ascii="Times New Roman" w:hAnsi="Times New Roman" w:eastAsia="仿宋_GB2312"/>
                <w:color w:val="auto"/>
                <w:kern w:val="0"/>
                <w:szCs w:val="21"/>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擅自营业时间在</w:t>
            </w:r>
            <w:r>
              <w:rPr>
                <w:rFonts w:hint="eastAsia" w:ascii="Times New Roman" w:hAnsi="Times New Roman" w:eastAsia="仿宋_GB2312"/>
                <w:color w:val="auto"/>
                <w:kern w:val="0"/>
                <w:szCs w:val="21"/>
                <w:lang w:val="en-US" w:eastAsia="zh-CN"/>
                <w14:textFill>
                  <w14:gradFill>
                    <w14:gsLst>
                      <w14:gs w14:pos="0">
                        <w14:srgbClr w14:val="012D86"/>
                      </w14:gs>
                      <w14:gs w14:pos="100000">
                        <w14:srgbClr w14:val="0E2557"/>
                      </w14:gs>
                    </w14:gsLst>
                    <w14:lin w14:scaled="0"/>
                  </w14:gradFill>
                </w14:textFill>
              </w:rPr>
              <w:t>15日内，属</w:t>
            </w: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初次违法且危害后果轻微并及时改正的</w:t>
            </w:r>
            <w:r>
              <w:rPr>
                <w:rFonts w:ascii="Times New Roman" w:hAnsi="Times New Roman" w:eastAsia="仿宋_GB2312"/>
                <w:color w:val="auto"/>
                <w:kern w:val="0"/>
                <w:szCs w:val="21"/>
                <w14:textFill>
                  <w14:gradFill>
                    <w14:gsLst>
                      <w14:gs w14:pos="0">
                        <w14:srgbClr w14:val="012D86"/>
                      </w14:gs>
                      <w14:gs w14:pos="100000">
                        <w14:srgbClr w14:val="0E2557"/>
                      </w14:gs>
                    </w14:gsLst>
                    <w14:lin w14:scaled="0"/>
                  </w14:gradFill>
                </w14:textFill>
              </w:rPr>
              <w:t>。</w:t>
            </w:r>
          </w:p>
        </w:tc>
        <w:tc>
          <w:tcPr>
            <w:tcW w:w="2688" w:type="dxa"/>
            <w:vAlign w:val="center"/>
          </w:tcPr>
          <w:p>
            <w:pPr>
              <w:snapToGrid w:val="0"/>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9"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80" w:firstLineChars="200"/>
              <w:jc w:val="both"/>
              <w:textAlignment w:val="auto"/>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擅自营业</w:t>
            </w:r>
            <w:r>
              <w:rPr>
                <w:rFonts w:hint="eastAsia" w:ascii="Times New Roman" w:hAnsi="Times New Roman" w:eastAsia="仿宋_GB2312"/>
                <w:color w:val="auto"/>
                <w:kern w:val="0"/>
                <w:szCs w:val="21"/>
                <w:lang w:eastAsia="zh-CN"/>
              </w:rPr>
              <w:t>时间在</w:t>
            </w:r>
            <w:r>
              <w:rPr>
                <w:rFonts w:hint="eastAsia" w:ascii="Times New Roman" w:hAnsi="Times New Roman" w:eastAsia="仿宋_GB2312"/>
                <w:color w:val="auto"/>
                <w:kern w:val="0"/>
                <w:szCs w:val="21"/>
                <w:lang w:val="en-US" w:eastAsia="zh-CN"/>
              </w:rPr>
              <w:t>15日以上</w:t>
            </w:r>
            <w:r>
              <w:rPr>
                <w:rFonts w:ascii="Times New Roman" w:hAnsi="Times New Roman" w:eastAsia="仿宋_GB2312"/>
                <w:color w:val="auto"/>
                <w:kern w:val="0"/>
                <w:szCs w:val="21"/>
              </w:rPr>
              <w:t>不足1个月，能</w:t>
            </w:r>
            <w:r>
              <w:rPr>
                <w:rFonts w:ascii="Times New Roman" w:hAnsi="Times New Roman" w:eastAsia="仿宋_GB2312"/>
                <w:color w:val="000000"/>
                <w:kern w:val="0"/>
                <w:szCs w:val="21"/>
              </w:rPr>
              <w:t>主动配合查处。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给予警告，并处以五百元以上一千元以下罚款。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2"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擅自营业</w:t>
            </w:r>
            <w:r>
              <w:rPr>
                <w:rFonts w:hint="eastAsia" w:ascii="Times New Roman" w:hAnsi="Times New Roman" w:eastAsia="仿宋_GB2312"/>
                <w:color w:val="auto"/>
                <w:kern w:val="0"/>
                <w:szCs w:val="21"/>
                <w:lang w:eastAsia="zh-CN"/>
              </w:rPr>
              <w:t>时间在</w:t>
            </w:r>
            <w:r>
              <w:rPr>
                <w:rFonts w:hint="eastAsia" w:ascii="Times New Roman" w:hAnsi="Times New Roman" w:eastAsia="仿宋_GB2312"/>
                <w:color w:val="auto"/>
                <w:kern w:val="0"/>
                <w:szCs w:val="21"/>
                <w:lang w:val="en-US" w:eastAsia="zh-CN"/>
              </w:rPr>
              <w:t>1-2</w:t>
            </w:r>
            <w:r>
              <w:rPr>
                <w:rFonts w:ascii="Times New Roman" w:hAnsi="Times New Roman" w:eastAsia="仿宋_GB2312"/>
                <w:color w:val="auto"/>
                <w:kern w:val="0"/>
                <w:szCs w:val="21"/>
              </w:rPr>
              <w:t>月，</w:t>
            </w:r>
            <w:r>
              <w:rPr>
                <w:rFonts w:hint="eastAsia" w:ascii="Times New Roman" w:hAnsi="Times New Roman" w:eastAsia="仿宋_GB2312"/>
                <w:color w:val="auto"/>
                <w:kern w:val="0"/>
                <w:szCs w:val="21"/>
                <w:lang w:eastAsia="zh-CN"/>
              </w:rPr>
              <w:t>或</w:t>
            </w:r>
            <w:r>
              <w:rPr>
                <w:rFonts w:ascii="Times New Roman" w:hAnsi="Times New Roman" w:eastAsia="仿宋_GB2312"/>
                <w:color w:val="auto"/>
                <w:kern w:val="0"/>
                <w:szCs w:val="21"/>
              </w:rPr>
              <w:t>不</w:t>
            </w:r>
            <w:r>
              <w:rPr>
                <w:rFonts w:ascii="Times New Roman" w:hAnsi="Times New Roman" w:eastAsia="仿宋_GB2312"/>
                <w:color w:val="000000"/>
                <w:kern w:val="0"/>
                <w:szCs w:val="21"/>
              </w:rPr>
              <w:t>配合卫生行政执法人员查处的。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给予警告，并处以一千元以上二千元以下罚款。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7"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擅自营业</w:t>
            </w:r>
            <w:r>
              <w:rPr>
                <w:rFonts w:hint="eastAsia" w:ascii="Times New Roman" w:hAnsi="Times New Roman" w:eastAsia="仿宋_GB2312"/>
                <w:color w:val="auto"/>
                <w:kern w:val="0"/>
                <w:szCs w:val="21"/>
                <w:lang w:eastAsia="zh-CN"/>
              </w:rPr>
              <w:t>时间在</w:t>
            </w:r>
            <w:r>
              <w:rPr>
                <w:rFonts w:hint="eastAsia" w:ascii="Times New Roman" w:hAnsi="Times New Roman" w:eastAsia="仿宋_GB2312"/>
                <w:color w:val="auto"/>
                <w:kern w:val="0"/>
                <w:szCs w:val="21"/>
                <w:lang w:val="en-US" w:eastAsia="zh-CN"/>
              </w:rPr>
              <w:t>2</w:t>
            </w:r>
            <w:r>
              <w:rPr>
                <w:rFonts w:ascii="Times New Roman" w:hAnsi="Times New Roman" w:eastAsia="仿宋_GB2312"/>
                <w:color w:val="auto"/>
                <w:kern w:val="0"/>
                <w:szCs w:val="21"/>
              </w:rPr>
              <w:t>-</w:t>
            </w:r>
            <w:r>
              <w:rPr>
                <w:rFonts w:hint="eastAsia" w:ascii="Times New Roman" w:hAnsi="Times New Roman" w:eastAsia="仿宋_GB2312"/>
                <w:color w:val="auto"/>
                <w:kern w:val="0"/>
                <w:szCs w:val="21"/>
                <w:lang w:val="en-US" w:eastAsia="zh-CN"/>
              </w:rPr>
              <w:t>3</w:t>
            </w:r>
            <w:r>
              <w:rPr>
                <w:rFonts w:ascii="Times New Roman" w:hAnsi="Times New Roman" w:eastAsia="仿宋_GB2312"/>
                <w:color w:val="auto"/>
                <w:kern w:val="0"/>
                <w:szCs w:val="21"/>
              </w:rPr>
              <w:t>个</w:t>
            </w:r>
            <w:r>
              <w:rPr>
                <w:rFonts w:ascii="Times New Roman" w:hAnsi="Times New Roman" w:eastAsia="仿宋_GB2312"/>
                <w:color w:val="000000"/>
                <w:kern w:val="0"/>
                <w:szCs w:val="21"/>
              </w:rPr>
              <w:t>月内，或造成一定不良影响或者后果的。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给予警告，并处以二千元以上</w:t>
            </w:r>
            <w:r>
              <w:rPr>
                <w:rFonts w:hint="eastAsia" w:ascii="Times New Roman" w:hAnsi="Times New Roman" w:eastAsia="仿宋_GB2312"/>
                <w:color w:val="FF0000"/>
                <w:kern w:val="0"/>
                <w:szCs w:val="21"/>
                <w:lang w:eastAsia="zh-CN"/>
              </w:rPr>
              <w:t>四</w:t>
            </w:r>
            <w:r>
              <w:rPr>
                <w:rFonts w:ascii="Times New Roman" w:hAnsi="Times New Roman" w:eastAsia="仿宋_GB2312"/>
                <w:color w:val="000000"/>
                <w:kern w:val="0"/>
                <w:szCs w:val="21"/>
              </w:rPr>
              <w:t>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auto"/>
                <w:kern w:val="0"/>
                <w:szCs w:val="21"/>
              </w:rPr>
              <w:t>擅自营业</w:t>
            </w:r>
            <w:r>
              <w:rPr>
                <w:rFonts w:hint="eastAsia" w:ascii="Times New Roman" w:hAnsi="Times New Roman" w:eastAsia="仿宋_GB2312"/>
                <w:color w:val="auto"/>
                <w:kern w:val="0"/>
                <w:szCs w:val="21"/>
                <w:lang w:eastAsia="zh-CN"/>
              </w:rPr>
              <w:t>时间在</w:t>
            </w:r>
            <w:r>
              <w:rPr>
                <w:rFonts w:ascii="Times New Roman" w:hAnsi="Times New Roman" w:eastAsia="仿宋_GB2312"/>
                <w:color w:val="auto"/>
                <w:kern w:val="0"/>
                <w:szCs w:val="21"/>
              </w:rPr>
              <w:t>3个月内，情节严重的（指拒不改正的、弄虚作假的、抗拒执法的、社会影响恶劣的、可能或者已经造成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突发公共卫生事件，以及其它严重危害后果的等）。</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给予警告，并处以</w:t>
            </w:r>
            <w:r>
              <w:rPr>
                <w:rFonts w:hint="eastAsia" w:ascii="Times New Roman" w:hAnsi="Times New Roman" w:eastAsia="仿宋_GB2312"/>
                <w:color w:val="FF0000"/>
                <w:kern w:val="0"/>
                <w:szCs w:val="21"/>
                <w:lang w:eastAsia="zh-CN"/>
              </w:rPr>
              <w:t>四</w:t>
            </w:r>
            <w:r>
              <w:rPr>
                <w:rFonts w:ascii="Times New Roman" w:hAnsi="Times New Roman" w:eastAsia="仿宋_GB2312"/>
                <w:color w:val="000000"/>
                <w:kern w:val="0"/>
                <w:szCs w:val="21"/>
              </w:rPr>
              <w:t>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2</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未依法取得公共场所卫生许可证擅自营业，并曾受过卫生行政部门处罚的。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《条例》第八条　除公园、体育场（馆）、公共交通工具外的公共场所，经营单位应当及时向卫生行政部门申请办理“卫生许可证”。</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《细则》第二十二条第二款</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lang w:eastAsia="zh-CN"/>
              </w:rPr>
              <w:t>公共场所经营者取得工商行政管理部门颁发的营业执照后，还应当按照规定向县级以上地方人民政府卫生计生行政部门申请卫生许可证，方可营业。</w:t>
            </w:r>
            <w:r>
              <w:rPr>
                <w:rFonts w:hint="eastAsia" w:ascii="Times New Roman" w:hAnsi="Times New Roman" w:eastAsia="仿宋_GB2312"/>
                <w:color w:val="000000"/>
                <w:kern w:val="0"/>
                <w:sz w:val="21"/>
                <w:szCs w:val="21"/>
                <w:lang w:eastAsia="zh-CN"/>
              </w:rPr>
              <w:br w:type="textWrapping"/>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lang w:eastAsia="zh-CN"/>
              </w:rPr>
              <w:t>依据条款：</w:t>
            </w:r>
          </w:p>
          <w:p>
            <w:pPr>
              <w:snapToGrid w:val="0"/>
              <w:ind w:firstLine="420" w:firstLineChars="200"/>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s="Times New Roman"/>
                <w:color w:val="000000"/>
                <w:kern w:val="0"/>
                <w:sz w:val="21"/>
                <w:szCs w:val="21"/>
                <w:lang w:val="en-US" w:eastAsia="zh-CN" w:bidi="ar-SA"/>
              </w:rPr>
              <w:t xml:space="preserve">第十四条第（四）项　凡有下列行为之一的单位或者个人，卫生防疫机构可以根据情节轻重，给予警告、罚款、停业整顿、吊销“卫生许可证”的行政处罚：（四）未取得“卫生许可证”，擅自营业的。  </w:t>
            </w:r>
          </w:p>
          <w:p>
            <w:pPr>
              <w:snapToGrid w:val="0"/>
              <w:ind w:firstLine="420" w:firstLineChars="200"/>
              <w:rPr>
                <w:rFonts w:ascii="Times New Roman" w:hAnsi="Times New Roman" w:eastAsia="仿宋_GB2312"/>
                <w:color w:val="000000"/>
                <w:kern w:val="0"/>
                <w:szCs w:val="21"/>
              </w:rPr>
            </w:pPr>
            <w:r>
              <w:rPr>
                <w:rFonts w:ascii="Times New Roman" w:hAnsi="Times New Roman" w:eastAsia="仿宋_GB2312"/>
                <w:color w:val="000000"/>
                <w:kern w:val="0"/>
                <w:sz w:val="21"/>
                <w:szCs w:val="21"/>
              </w:rPr>
              <w:t>《细则》第三十五条</w:t>
            </w:r>
            <w:r>
              <w:rPr>
                <w:rFonts w:hint="eastAsia" w:ascii="Times New Roman" w:hAnsi="Times New Roman" w:eastAsia="仿宋_GB2312"/>
                <w:color w:val="000000"/>
                <w:kern w:val="0"/>
                <w:sz w:val="21"/>
                <w:szCs w:val="21"/>
                <w:lang w:eastAsia="zh-CN"/>
              </w:rPr>
              <w:t>第（一）项</w:t>
            </w:r>
            <w:r>
              <w:rPr>
                <w:rFonts w:ascii="Times New Roman" w:hAnsi="Times New Roman" w:eastAsia="仿宋_GB2312"/>
                <w:color w:val="000000"/>
                <w:kern w:val="0"/>
                <w:sz w:val="21"/>
                <w:szCs w:val="21"/>
              </w:rPr>
              <w:t>:对未依法取得公共场所卫生许可证擅自营业的，由县级以上地方人民政府卫生计生行政部门责令限期改正，给予警告，并处以五百元以上五千元以下罚款；有下列情形之一的，处以五千元以上三万元以下罚款:（一）擅自营业曾受过卫生计生行政部门处罚的；</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auto"/>
                <w:kern w:val="0"/>
                <w:szCs w:val="21"/>
              </w:rPr>
              <w:t>配合卫生行政执法人员查处</w:t>
            </w:r>
            <w:r>
              <w:rPr>
                <w:rFonts w:hint="eastAsia" w:ascii="Times New Roman" w:hAnsi="Times New Roman" w:eastAsia="仿宋_GB2312"/>
                <w:color w:val="auto"/>
                <w:kern w:val="0"/>
                <w:szCs w:val="21"/>
                <w:lang w:eastAsia="zh-CN"/>
              </w:rPr>
              <w:t>，</w:t>
            </w:r>
            <w:r>
              <w:rPr>
                <w:rFonts w:ascii="Times New Roman" w:hAnsi="Times New Roman" w:eastAsia="仿宋_GB2312"/>
                <w:color w:val="000000"/>
                <w:kern w:val="0"/>
                <w:szCs w:val="21"/>
              </w:rPr>
              <w:t>认错态度较好，能主动改正。</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处五千元以上一万元以下的罚款。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不配合卫生行政执法人员查处的。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处一万元以上一万五千元以下的罚款。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造成一定不良影响或者后果的。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处一万五千元以上二万元以下的罚款。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w:t>
            </w:r>
            <w:r>
              <w:rPr>
                <w:rFonts w:ascii="Times New Roman" w:hAnsi="Times New Roman" w:eastAsia="仿宋_GB2312"/>
                <w:color w:val="000000"/>
                <w:kern w:val="0"/>
                <w:szCs w:val="21"/>
              </w:rPr>
              <w:t>件，以及其它严重危害后果的等）。</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处二万元以上三万元以下的罚款。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3</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未依法取得公共场所卫生许可证擅自营业，且时间在三个月以上的。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《条例》第八条　除公园、体育场（馆）、公共交通工具外的公共场所，经营单位应当及时向卫生行政部门申请办理“卫生许可证”。</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《细则》第二十二条第二款</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lang w:eastAsia="zh-CN"/>
              </w:rPr>
              <w:t>公共场所经营者取得工商行政管理部门颁发的营业执照后，还应当按照规定向县级以上地方人民政府卫生计生行政部门申请卫生许可证，方可营业。</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依据条款：</w:t>
            </w:r>
          </w:p>
          <w:p>
            <w:pPr>
              <w:snapToGrid w:val="0"/>
              <w:ind w:firstLine="420" w:firstLineChars="200"/>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s="Times New Roman"/>
                <w:color w:val="000000"/>
                <w:kern w:val="0"/>
                <w:sz w:val="21"/>
                <w:szCs w:val="21"/>
                <w:lang w:val="en-US" w:eastAsia="zh-CN" w:bidi="ar-SA"/>
              </w:rPr>
              <w:t xml:space="preserve">第十四条第（四）项　凡有下列行为之一的单位或者个人，卫生防疫机构可以根据情节轻重，给予警告、罚款、停业整顿、吊销“卫生许可证”的行政处罚：（四）未取得“卫生许可证”，擅自营业的。  </w:t>
            </w:r>
          </w:p>
          <w:p>
            <w:pPr>
              <w:snapToGrid w:val="0"/>
              <w:ind w:firstLine="420" w:firstLineChars="200"/>
              <w:rPr>
                <w:rFonts w:ascii="Times New Roman" w:hAnsi="Times New Roman" w:eastAsia="仿宋_GB2312"/>
                <w:color w:val="000000"/>
                <w:kern w:val="0"/>
                <w:szCs w:val="21"/>
              </w:rPr>
            </w:pPr>
            <w:r>
              <w:rPr>
                <w:rFonts w:ascii="Times New Roman" w:hAnsi="Times New Roman" w:eastAsia="仿宋_GB2312"/>
                <w:color w:val="000000"/>
                <w:kern w:val="0"/>
                <w:sz w:val="21"/>
                <w:szCs w:val="21"/>
              </w:rPr>
              <w:t>《细则》第三十五条</w:t>
            </w:r>
            <w:r>
              <w:rPr>
                <w:rFonts w:hint="eastAsia" w:ascii="Times New Roman" w:hAnsi="Times New Roman" w:eastAsia="仿宋_GB2312"/>
                <w:color w:val="000000"/>
                <w:kern w:val="0"/>
                <w:sz w:val="21"/>
                <w:szCs w:val="21"/>
                <w:lang w:eastAsia="zh-CN"/>
              </w:rPr>
              <w:t>第（二）项</w:t>
            </w:r>
            <w:r>
              <w:rPr>
                <w:rFonts w:ascii="Times New Roman" w:hAnsi="Times New Roman" w:eastAsia="仿宋_GB2312"/>
                <w:color w:val="000000"/>
                <w:kern w:val="0"/>
                <w:sz w:val="21"/>
                <w:szCs w:val="21"/>
              </w:rPr>
              <w:t>:对未依法取得公共场所卫生许可证擅自营业的，由县级以上地方人民政府卫生计生行政部门责令限期改正，给予警告，并处以五百元以上五千元以下罚款；有下列情形之一的，处以五千元以上三万元以下罚款:（二）擅自营业时间在三个月以上的；</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auto"/>
                <w:kern w:val="0"/>
                <w:szCs w:val="21"/>
              </w:rPr>
              <w:t>擅自营业时间在3-6个月的，且配合卫生行政执法人员查处</w:t>
            </w:r>
            <w:r>
              <w:rPr>
                <w:rFonts w:hint="eastAsia" w:ascii="Times New Roman" w:hAnsi="Times New Roman" w:eastAsia="仿宋_GB2312"/>
                <w:color w:val="auto"/>
                <w:kern w:val="0"/>
                <w:szCs w:val="21"/>
                <w:lang w:eastAsia="zh-CN"/>
              </w:rPr>
              <w:t>，</w:t>
            </w:r>
            <w:r>
              <w:rPr>
                <w:rFonts w:ascii="Times New Roman" w:hAnsi="Times New Roman" w:eastAsia="仿宋_GB2312"/>
                <w:color w:val="auto"/>
                <w:kern w:val="0"/>
                <w:szCs w:val="21"/>
              </w:rPr>
              <w:t>认错态度较好，能主动改正。</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处五千元以上一万元以下的罚款。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69"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擅自营业时间在6个月以上的，或不配合卫生行政执法人员查处的。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处一万元以上一万五千元以下的罚款。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19"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造成一定不良影响或者后果的。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处一万五千元以上二万元以下的罚款。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突发公共卫生事件，以及其它严重危害后果的等）。</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处二万元以上三万元以下的罚款。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4</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以涂改、转让、倒卖、伪造的卫生许可证擅自营业的。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《条例》第八条　除公园、体育场（馆）、公共交通工具外的公共场所，经营单位应当及时向卫生行政部门申请办理“卫生许可证”。</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《细则》第二十二条第二款</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lang w:eastAsia="zh-CN"/>
              </w:rPr>
              <w:t>公共场所经营者取得工商行政管理部门颁发的营业执照后，还应当按照规定向县级以上地方人民政府卫生计生行政部门申请卫生许可证，方可营业。</w:t>
            </w:r>
          </w:p>
          <w:p>
            <w:pPr>
              <w:snapToGrid w:val="0"/>
              <w:ind w:firstLine="420" w:firstLineChars="200"/>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依据条款：</w:t>
            </w:r>
          </w:p>
          <w:p>
            <w:pPr>
              <w:snapToGrid w:val="0"/>
              <w:ind w:firstLine="420" w:firstLineChars="200"/>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s="Times New Roman"/>
                <w:color w:val="000000"/>
                <w:kern w:val="0"/>
                <w:sz w:val="21"/>
                <w:szCs w:val="21"/>
                <w:lang w:val="en-US" w:eastAsia="zh-CN" w:bidi="ar-SA"/>
              </w:rPr>
              <w:t xml:space="preserve">第十四条第（四）项　凡有下列行为之一的单位或者个人，卫生防疫机构可以根据情节轻重，给予警告、罚款、停业整顿、吊销“卫生许可证”的行政处罚：（四）未取得“卫生许可证”，擅自营业的。  </w:t>
            </w:r>
          </w:p>
          <w:p>
            <w:pPr>
              <w:snapToGrid w:val="0"/>
              <w:ind w:firstLine="420" w:firstLineChars="200"/>
              <w:rPr>
                <w:rFonts w:ascii="Times New Roman" w:hAnsi="Times New Roman" w:eastAsia="仿宋_GB2312"/>
                <w:color w:val="000000"/>
                <w:kern w:val="0"/>
                <w:szCs w:val="21"/>
              </w:rPr>
            </w:pPr>
            <w:r>
              <w:rPr>
                <w:rFonts w:ascii="Times New Roman" w:hAnsi="Times New Roman" w:eastAsia="仿宋_GB2312"/>
                <w:color w:val="000000"/>
                <w:kern w:val="0"/>
                <w:sz w:val="21"/>
                <w:szCs w:val="21"/>
              </w:rPr>
              <w:t>《细则》第三十五条</w:t>
            </w:r>
            <w:r>
              <w:rPr>
                <w:rFonts w:hint="eastAsia" w:ascii="Times New Roman" w:hAnsi="Times New Roman" w:eastAsia="仿宋_GB2312"/>
                <w:color w:val="000000"/>
                <w:kern w:val="0"/>
                <w:sz w:val="21"/>
                <w:szCs w:val="21"/>
                <w:lang w:eastAsia="zh-CN"/>
              </w:rPr>
              <w:t>第（三）项</w:t>
            </w:r>
            <w:r>
              <w:rPr>
                <w:rFonts w:ascii="Times New Roman" w:hAnsi="Times New Roman" w:eastAsia="仿宋_GB2312"/>
                <w:color w:val="000000"/>
                <w:kern w:val="0"/>
                <w:sz w:val="21"/>
                <w:szCs w:val="21"/>
              </w:rPr>
              <w:t>:对未依法取得公共场所卫生许可证擅自营业的，由县级以上地方人民政府卫生计生行政部门责令限期改正，给予警告，并处以五百元以上五千元以下罚款；有下列情形之一的，处以五千元以上三万元以下罚款:（三）以涂改、转让、倒卖、伪造的卫生许可证擅自营业的。</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auto"/>
                <w:szCs w:val="21"/>
              </w:rPr>
            </w:pPr>
            <w:r>
              <w:rPr>
                <w:rFonts w:ascii="Times New Roman" w:hAnsi="Times New Roman" w:eastAsia="仿宋_GB2312"/>
                <w:color w:val="auto"/>
                <w:kern w:val="0"/>
                <w:szCs w:val="21"/>
              </w:rPr>
              <w:t>擅自营业不足1个月，</w:t>
            </w:r>
            <w:r>
              <w:rPr>
                <w:rFonts w:hint="eastAsia" w:ascii="Times New Roman" w:hAnsi="Times New Roman" w:eastAsia="仿宋_GB2312"/>
                <w:color w:val="auto"/>
                <w:kern w:val="0"/>
                <w:szCs w:val="21"/>
                <w:lang w:eastAsia="zh-CN"/>
              </w:rPr>
              <w:t>且</w:t>
            </w:r>
            <w:r>
              <w:rPr>
                <w:rFonts w:ascii="Times New Roman" w:hAnsi="Times New Roman" w:eastAsia="仿宋_GB2312"/>
                <w:color w:val="auto"/>
                <w:kern w:val="0"/>
                <w:szCs w:val="21"/>
              </w:rPr>
              <w:t>配合卫生行政执法人员查处</w:t>
            </w:r>
            <w:r>
              <w:rPr>
                <w:rFonts w:hint="eastAsia" w:ascii="Times New Roman" w:hAnsi="Times New Roman" w:eastAsia="仿宋_GB2312"/>
                <w:color w:val="auto"/>
                <w:kern w:val="0"/>
                <w:szCs w:val="21"/>
                <w:lang w:eastAsia="zh-CN"/>
              </w:rPr>
              <w:t>，</w:t>
            </w:r>
            <w:r>
              <w:rPr>
                <w:rFonts w:ascii="Times New Roman" w:hAnsi="Times New Roman" w:eastAsia="仿宋_GB2312"/>
                <w:color w:val="auto"/>
                <w:kern w:val="0"/>
                <w:szCs w:val="21"/>
              </w:rPr>
              <w:t>认错态度较好，能主动改正的。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处五千元以上一万元以下的罚款。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擅自营业1-2个月，或不配合卫生行政执法人员查处的。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处一万元以上一万五千元以下的罚款。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擅自营业2-3个月，或造成一定不良影响或者后果的。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处一万五千元以上二万元以下的罚款。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擅自营业3个月以上，或情节严重的（指拒不改正的、弄虚作假的、抗拒执法的、社会影响恶劣的、可能或者已经造成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w:t>
            </w:r>
            <w:r>
              <w:rPr>
                <w:rFonts w:ascii="Times New Roman" w:hAnsi="Times New Roman" w:eastAsia="仿宋_GB2312"/>
                <w:color w:val="000000"/>
                <w:kern w:val="0"/>
                <w:szCs w:val="21"/>
              </w:rPr>
              <w:t>危害后果的</w:t>
            </w:r>
            <w:r>
              <w:rPr>
                <w:rFonts w:hint="eastAsia" w:ascii="Times New Roman" w:hAnsi="Times New Roman" w:eastAsia="仿宋_GB2312"/>
                <w:color w:val="000000"/>
                <w:kern w:val="0"/>
                <w:szCs w:val="21"/>
                <w:lang w:eastAsia="zh-CN"/>
              </w:rPr>
              <w:t>等）</w:t>
            </w:r>
            <w:r>
              <w:rPr>
                <w:rFonts w:ascii="Times New Roman" w:hAnsi="Times New Roman" w:eastAsia="仿宋_GB2312"/>
                <w:color w:val="00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处二万元以上三万元以下的罚款。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5</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未按照规定对公共场所的空气、微小气候、水质、采光、照明、噪声、顾客用品用具等进行卫生检测的。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 w:val="21"/>
                <w:szCs w:val="21"/>
                <w:lang w:eastAsia="zh-CN"/>
              </w:rPr>
              <w:t>《细则》第十九条第一款</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rPr>
              <w:t>公共场所经营者应当按照卫生标准、规范的要求对公共场所的空气、微小气候、水质、采光、照明、噪声、顾客用品用具等进行卫生检测，检测每年不得少于一次；检测结果不符合卫生标准、规范要求的应当及时整改</w:t>
            </w:r>
            <w:r>
              <w:rPr>
                <w:rFonts w:hint="eastAsia" w:ascii="Times New Roman" w:hAnsi="Times New Roman" w:eastAsia="仿宋_GB2312"/>
                <w:color w:val="000000"/>
                <w:kern w:val="0"/>
                <w:sz w:val="21"/>
                <w:szCs w:val="21"/>
                <w:lang w:eastAsia="zh-CN"/>
              </w:rPr>
              <w:t>；</w:t>
            </w:r>
            <w:r>
              <w:rPr>
                <w:rFonts w:hint="eastAsia" w:ascii="Times New Roman" w:hAnsi="Times New Roman" w:eastAsia="仿宋_GB2312"/>
                <w:color w:val="000000"/>
                <w:kern w:val="0"/>
                <w:sz w:val="21"/>
                <w:szCs w:val="21"/>
                <w:lang w:val="en-US" w:eastAsia="zh-CN"/>
              </w:rPr>
              <w:t xml:space="preserve">  </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《条例》第三条第一款第（一）</w:t>
            </w:r>
            <w:r>
              <w:rPr>
                <w:rFonts w:hint="eastAsia" w:ascii="仿宋_GB2312" w:hAnsi="仿宋_GB2312" w:eastAsia="仿宋_GB2312" w:cs="仿宋_GB2312"/>
                <w:color w:val="000000"/>
                <w:kern w:val="0"/>
                <w:sz w:val="21"/>
                <w:szCs w:val="21"/>
                <w:lang w:val="en-US" w:eastAsia="zh-CN" w:bidi="ar-SA"/>
              </w:rPr>
              <w:t>∽</w:t>
            </w:r>
            <w:r>
              <w:rPr>
                <w:rFonts w:hint="eastAsia" w:ascii="Times New Roman" w:hAnsi="Times New Roman" w:eastAsia="仿宋_GB2312" w:cs="Times New Roman"/>
                <w:color w:val="000000"/>
                <w:kern w:val="0"/>
                <w:sz w:val="21"/>
                <w:szCs w:val="21"/>
                <w:lang w:val="en-US" w:eastAsia="zh-CN" w:bidi="ar-SA"/>
              </w:rPr>
              <w:t>（五）项公共场所的下列项目应符合国家卫生标准和要求：</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s="Times New Roman"/>
                <w:color w:val="000000"/>
                <w:kern w:val="0"/>
                <w:sz w:val="21"/>
                <w:szCs w:val="21"/>
                <w:lang w:val="en-US" w:eastAsia="zh-CN" w:bidi="ar-SA"/>
              </w:rPr>
              <w:t>（一）空气、微小气候（湿度、温度、风速）；（二）水质；（三）采光、照明；（四）噪音；（五）顾客用具和卫生设施。（</w:t>
            </w:r>
            <w:r>
              <w:rPr>
                <w:rFonts w:ascii="Times New Roman" w:hAnsi="Times New Roman" w:eastAsia="仿宋_GB2312"/>
                <w:color w:val="000000"/>
                <w:kern w:val="0"/>
                <w:sz w:val="21"/>
                <w:szCs w:val="21"/>
              </w:rPr>
              <w:t>逾期不改正，造成公共场所卫生质量不符合卫生标准和要求</w:t>
            </w:r>
            <w:r>
              <w:rPr>
                <w:rFonts w:hint="eastAsia" w:ascii="Times New Roman" w:hAnsi="Times New Roman" w:eastAsia="仿宋_GB2312"/>
                <w:color w:val="000000"/>
                <w:kern w:val="0"/>
                <w:sz w:val="21"/>
                <w:szCs w:val="21"/>
                <w:lang w:eastAsia="zh-CN"/>
              </w:rPr>
              <w:t>时</w:t>
            </w:r>
            <w:r>
              <w:rPr>
                <w:rFonts w:hint="eastAsia" w:ascii="Times New Roman" w:hAnsi="Times New Roman" w:eastAsia="仿宋_GB2312" w:cs="Times New Roman"/>
                <w:color w:val="000000"/>
                <w:kern w:val="0"/>
                <w:sz w:val="21"/>
                <w:szCs w:val="21"/>
                <w:lang w:val="en-US" w:eastAsia="zh-CN" w:bidi="ar-SA"/>
              </w:rPr>
              <w:t>）</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依据条款：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kern w:val="0"/>
                <w:sz w:val="21"/>
                <w:szCs w:val="21"/>
              </w:rPr>
            </w:pPr>
            <w:r>
              <w:rPr>
                <w:rFonts w:ascii="Times New Roman" w:hAnsi="Times New Roman" w:eastAsia="仿宋_GB2312"/>
                <w:color w:val="000000"/>
                <w:kern w:val="0"/>
                <w:sz w:val="21"/>
                <w:szCs w:val="21"/>
              </w:rPr>
              <w:t>《细则》第三十六条</w:t>
            </w:r>
            <w:r>
              <w:rPr>
                <w:rFonts w:hint="eastAsia" w:ascii="Times New Roman" w:hAnsi="Times New Roman" w:eastAsia="仿宋_GB2312"/>
                <w:color w:val="000000"/>
                <w:kern w:val="0"/>
                <w:sz w:val="21"/>
                <w:szCs w:val="21"/>
                <w:lang w:val="en-US" w:eastAsia="zh-CN"/>
              </w:rPr>
              <w:t xml:space="preserve"> 第（一）项</w:t>
            </w:r>
            <w:r>
              <w:rPr>
                <w:rFonts w:ascii="Times New Roman" w:hAnsi="Times New Roman" w:eastAsia="仿宋_GB2312"/>
                <w:color w:val="000000"/>
                <w:kern w:val="0"/>
                <w:sz w:val="21"/>
                <w:szCs w:val="21"/>
              </w:rPr>
              <w:t>:公共场所经营者有下列情形之一的，由县级以上地方人民政府卫生计生行政部门责令限期改正，给予警告，并可处以二千元以下罚款；逾期不改正，造成公共场所卫生质量不符合卫生标准和要求的，处以二千元以上二万元以下罚款；情节严重的，可以依法责令停业整顿，直至吊销卫生许可证:（一）未按照规定对公共场所的空气、微小气候、水质、采光、照明、噪声、顾客用品用具等进行卫生检测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微软雅黑" w:hAnsi="微软雅黑" w:eastAsia="微软雅黑"/>
                <w:b/>
                <w:bCs/>
                <w:color w:val="FF0000"/>
                <w:spacing w:val="8"/>
                <w:sz w:val="32"/>
                <w:szCs w:val="32"/>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olor w:val="000000"/>
                <w:kern w:val="0"/>
                <w:sz w:val="21"/>
                <w:szCs w:val="21"/>
              </w:rPr>
              <w:t>第十四条</w:t>
            </w:r>
            <w:r>
              <w:rPr>
                <w:rFonts w:hint="eastAsia" w:ascii="Times New Roman" w:hAnsi="Times New Roman" w:eastAsia="仿宋_GB2312"/>
                <w:color w:val="000000"/>
                <w:kern w:val="0"/>
                <w:sz w:val="21"/>
                <w:szCs w:val="21"/>
                <w:lang w:eastAsia="zh-CN"/>
              </w:rPr>
              <w:t>第一款第（一）项</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rPr>
              <w:t>凡有下列行为之一的单位或者个人，卫生防疫机构可以根据情节轻重，给予警告、罚款、停业整顿、吊销“卫生许可证”的行政处罚：（一）卫生质量不符合国家卫生标准和要求，而继续营业的；</w:t>
            </w:r>
            <w:r>
              <w:rPr>
                <w:rFonts w:hint="eastAsia" w:ascii="Times New Roman" w:hAnsi="Times New Roman" w:eastAsia="仿宋_GB2312" w:cs="Times New Roman"/>
                <w:color w:val="000000"/>
                <w:kern w:val="0"/>
                <w:sz w:val="21"/>
                <w:szCs w:val="21"/>
                <w:lang w:val="en-US" w:eastAsia="zh-CN" w:bidi="ar-SA"/>
              </w:rPr>
              <w:t>（</w:t>
            </w:r>
            <w:r>
              <w:rPr>
                <w:rFonts w:ascii="Times New Roman" w:hAnsi="Times New Roman" w:eastAsia="仿宋_GB2312"/>
                <w:color w:val="000000"/>
                <w:kern w:val="0"/>
                <w:sz w:val="21"/>
                <w:szCs w:val="21"/>
              </w:rPr>
              <w:t>逾期不改正，造成公共场所卫生质量不符合卫生标准和要求</w:t>
            </w:r>
            <w:r>
              <w:rPr>
                <w:rFonts w:hint="eastAsia" w:ascii="Times New Roman" w:hAnsi="Times New Roman" w:eastAsia="仿宋_GB2312"/>
                <w:color w:val="000000"/>
                <w:kern w:val="0"/>
                <w:sz w:val="21"/>
                <w:szCs w:val="21"/>
                <w:lang w:eastAsia="zh-CN"/>
              </w:rPr>
              <w:t>时</w:t>
            </w:r>
            <w:r>
              <w:rPr>
                <w:rFonts w:hint="eastAsia" w:ascii="Times New Roman" w:hAnsi="Times New Roman" w:eastAsia="仿宋_GB2312" w:cs="Times New Roman"/>
                <w:color w:val="000000"/>
                <w:kern w:val="0"/>
                <w:sz w:val="21"/>
                <w:szCs w:val="21"/>
                <w:lang w:val="en-US" w:eastAsia="zh-CN" w:bidi="ar-SA"/>
              </w:rPr>
              <w:t>）</w:t>
            </w:r>
          </w:p>
          <w:p>
            <w:pPr>
              <w:snapToGrid w:val="0"/>
              <w:ind w:firstLine="420" w:firstLineChars="20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s="Times New Roman"/>
                <w:color w:val="auto"/>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val="en-US" w:eastAsia="zh-CN"/>
                <w14:textFill>
                  <w14:gradFill>
                    <w14:gsLst>
                      <w14:gs w14:pos="0">
                        <w14:srgbClr w14:val="012D86"/>
                      </w14:gs>
                      <w14:gs w14:pos="100000">
                        <w14:srgbClr w14:val="0E2557"/>
                      </w14:gs>
                    </w14:gsLst>
                    <w14:lin w14:scaled="0"/>
                  </w14:gradFill>
                </w14:textFill>
              </w:rPr>
              <w:t>不予行政处罚</w:t>
            </w:r>
          </w:p>
        </w:tc>
        <w:tc>
          <w:tcPr>
            <w:tcW w:w="3327" w:type="dxa"/>
            <w:vAlign w:val="center"/>
          </w:tcPr>
          <w:p>
            <w:pPr>
              <w:snapToGrid w:val="0"/>
              <w:rPr>
                <w:rFonts w:ascii="Times New Roman" w:hAnsi="Times New Roman" w:eastAsia="仿宋_GB2312" w:cs="Times New Roman"/>
                <w:color w:val="auto"/>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未按规定进行卫生检测时间在两个月</w:t>
            </w:r>
            <w:r>
              <w:rPr>
                <w:rFonts w:hint="eastAsia" w:ascii="Times New Roman" w:hAnsi="Times New Roman" w:eastAsia="仿宋_GB2312"/>
                <w:color w:val="auto"/>
                <w:kern w:val="0"/>
                <w:szCs w:val="21"/>
                <w:lang w:val="en-US" w:eastAsia="zh-CN"/>
                <w14:textFill>
                  <w14:gradFill>
                    <w14:gsLst>
                      <w14:gs w14:pos="0">
                        <w14:srgbClr w14:val="012D86"/>
                      </w14:gs>
                      <w14:gs w14:pos="100000">
                        <w14:srgbClr w14:val="0E2557"/>
                      </w14:gs>
                    </w14:gsLst>
                    <w14:lin w14:scaled="0"/>
                  </w14:gradFill>
                </w14:textFill>
              </w:rPr>
              <w:t>内，属</w:t>
            </w: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初次违法且危害后果轻微并及时改正的</w:t>
            </w:r>
            <w:r>
              <w:rPr>
                <w:rFonts w:ascii="Times New Roman" w:hAnsi="Times New Roman" w:eastAsia="仿宋_GB2312"/>
                <w:color w:val="auto"/>
                <w:kern w:val="0"/>
                <w:szCs w:val="21"/>
                <w14:textFill>
                  <w14:gradFill>
                    <w14:gsLst>
                      <w14:gs w14:pos="0">
                        <w14:srgbClr w14:val="012D86"/>
                      </w14:gs>
                      <w14:gs w14:pos="100000">
                        <w14:srgbClr w14:val="0E2557"/>
                      </w14:gs>
                    </w14:gsLst>
                    <w14:lin w14:scaled="0"/>
                  </w14:gradFill>
                </w14:textFill>
              </w:rPr>
              <w:t>。</w:t>
            </w:r>
          </w:p>
        </w:tc>
        <w:tc>
          <w:tcPr>
            <w:tcW w:w="2688" w:type="dxa"/>
            <w:vAlign w:val="center"/>
          </w:tcPr>
          <w:p>
            <w:pPr>
              <w:snapToGrid w:val="0"/>
              <w:rPr>
                <w:rFonts w:hint="eastAsia" w:ascii="Times New Roman" w:hAnsi="Times New Roman" w:eastAsia="仿宋_GB2312" w:cs="Times New Roman"/>
                <w:color w:val="auto"/>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auto"/>
                <w:kern w:val="0"/>
                <w:szCs w:val="21"/>
                <w:lang w:eastAsia="zh-CN"/>
                <w14:textFill>
                  <w14:gradFill>
                    <w14:gsLst>
                      <w14:gs w14:pos="0">
                        <w14:srgbClr w14:val="012D86"/>
                      </w14:gs>
                      <w14:gs w14:pos="100000">
                        <w14:srgbClr w14:val="0E2557"/>
                      </w14:gs>
                    </w14:gsLst>
                    <w14:lin w14:scaled="0"/>
                  </w14:gradFill>
                </w14:textFill>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ind w:firstLine="420" w:firstLineChars="20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FF0000"/>
                <w:kern w:val="0"/>
                <w:szCs w:val="21"/>
                <w:lang w:eastAsia="zh-CN"/>
              </w:rPr>
              <w:t>未按规定进行卫生检测时间在两个月以上，</w:t>
            </w:r>
            <w:r>
              <w:rPr>
                <w:rFonts w:ascii="Times New Roman" w:hAnsi="Times New Roman" w:eastAsia="仿宋_GB2312"/>
                <w:color w:val="FF0000"/>
                <w:kern w:val="0"/>
                <w:szCs w:val="21"/>
              </w:rPr>
              <w:t>能主动配合查处，</w:t>
            </w:r>
            <w:r>
              <w:rPr>
                <w:rFonts w:hint="eastAsia" w:ascii="Times New Roman" w:hAnsi="Times New Roman" w:eastAsia="仿宋_GB2312"/>
                <w:color w:val="FF0000"/>
                <w:kern w:val="0"/>
                <w:szCs w:val="21"/>
                <w:lang w:eastAsia="zh-CN"/>
              </w:rPr>
              <w:t>积极改正</w:t>
            </w:r>
            <w:r>
              <w:rPr>
                <w:rFonts w:ascii="Times New Roman" w:hAnsi="Times New Roman" w:eastAsia="仿宋_GB2312"/>
                <w:color w:val="FF0000"/>
                <w:kern w:val="0"/>
                <w:szCs w:val="21"/>
              </w:rPr>
              <w:t>的</w:t>
            </w:r>
            <w:r>
              <w:rPr>
                <w:rFonts w:ascii="Times New Roman" w:hAnsi="Times New Roman" w:eastAsia="仿宋_GB2312"/>
                <w:color w:val="000000"/>
                <w:kern w:val="0"/>
                <w:szCs w:val="21"/>
                <w14:textFill>
                  <w14:gradFill>
                    <w14:gsLst>
                      <w14:gs w14:pos="0">
                        <w14:srgbClr w14:val="012D86"/>
                      </w14:gs>
                      <w14:gs w14:pos="100000">
                        <w14:srgbClr w14:val="0E2557"/>
                      </w14:gs>
                    </w14:gsLst>
                    <w14:lin w14:scaled="0"/>
                  </w14:gradFill>
                </w14:textFill>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给予警告，并可处以二千元以下罚款。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逾期不改正，造成公共场所卫生质量</w:t>
            </w:r>
            <w:r>
              <w:rPr>
                <w:rFonts w:hint="eastAsia" w:ascii="Times New Roman" w:hAnsi="Times New Roman" w:eastAsia="仿宋_GB2312"/>
                <w:color w:val="auto"/>
                <w:kern w:val="0"/>
                <w:szCs w:val="21"/>
                <w:lang w:eastAsia="zh-CN"/>
              </w:rPr>
              <w:t>有</w:t>
            </w:r>
            <w:r>
              <w:rPr>
                <w:rFonts w:hint="eastAsia" w:ascii="Times New Roman" w:hAnsi="Times New Roman" w:eastAsia="仿宋_GB2312"/>
                <w:color w:val="auto"/>
                <w:kern w:val="0"/>
                <w:szCs w:val="21"/>
                <w:lang w:val="en-US" w:eastAsia="zh-CN"/>
              </w:rPr>
              <w:t>3项以下相关卫生指标</w:t>
            </w:r>
            <w:r>
              <w:rPr>
                <w:rFonts w:ascii="Times New Roman" w:hAnsi="Times New Roman" w:eastAsia="仿宋_GB2312"/>
                <w:color w:val="auto"/>
                <w:kern w:val="0"/>
                <w:szCs w:val="21"/>
              </w:rPr>
              <w:t>不符合</w:t>
            </w:r>
            <w:r>
              <w:rPr>
                <w:rFonts w:hint="eastAsia" w:ascii="Times New Roman" w:hAnsi="Times New Roman" w:eastAsia="仿宋_GB2312"/>
                <w:color w:val="auto"/>
                <w:kern w:val="0"/>
                <w:szCs w:val="21"/>
                <w:lang w:eastAsia="zh-CN"/>
              </w:rPr>
              <w:t>国家</w:t>
            </w:r>
            <w:r>
              <w:rPr>
                <w:rFonts w:ascii="Times New Roman" w:hAnsi="Times New Roman" w:eastAsia="仿宋_GB2312"/>
                <w:color w:val="auto"/>
                <w:kern w:val="0"/>
                <w:szCs w:val="21"/>
              </w:rPr>
              <w:t>卫生标准和要求，配</w:t>
            </w:r>
            <w:r>
              <w:rPr>
                <w:rFonts w:ascii="Times New Roman" w:hAnsi="Times New Roman" w:eastAsia="仿宋_GB2312"/>
                <w:color w:val="000000"/>
                <w:kern w:val="0"/>
                <w:szCs w:val="21"/>
              </w:rPr>
              <w:t>合卫生计生行政部门查处的。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处以二千元以上一万元以下罚款。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逾期不改正，造成公共场所卫生质量</w:t>
            </w:r>
            <w:r>
              <w:rPr>
                <w:rFonts w:hint="eastAsia" w:ascii="Times New Roman" w:hAnsi="Times New Roman" w:eastAsia="仿宋_GB2312"/>
                <w:color w:val="auto"/>
                <w:kern w:val="0"/>
                <w:szCs w:val="21"/>
                <w:lang w:eastAsia="zh-CN"/>
              </w:rPr>
              <w:t>有</w:t>
            </w:r>
            <w:r>
              <w:rPr>
                <w:rFonts w:hint="eastAsia" w:ascii="Times New Roman" w:hAnsi="Times New Roman" w:eastAsia="仿宋_GB2312"/>
                <w:color w:val="auto"/>
                <w:kern w:val="0"/>
                <w:szCs w:val="21"/>
                <w:lang w:val="en-US" w:eastAsia="zh-CN"/>
              </w:rPr>
              <w:t>4项以上相关卫生指标</w:t>
            </w:r>
            <w:r>
              <w:rPr>
                <w:rFonts w:ascii="Times New Roman" w:hAnsi="Times New Roman" w:eastAsia="仿宋_GB2312"/>
                <w:color w:val="auto"/>
                <w:kern w:val="0"/>
                <w:szCs w:val="21"/>
              </w:rPr>
              <w:t>不符合</w:t>
            </w:r>
            <w:r>
              <w:rPr>
                <w:rFonts w:hint="eastAsia" w:ascii="Times New Roman" w:hAnsi="Times New Roman" w:eastAsia="仿宋_GB2312"/>
                <w:color w:val="auto"/>
                <w:kern w:val="0"/>
                <w:szCs w:val="21"/>
                <w:lang w:eastAsia="zh-CN"/>
              </w:rPr>
              <w:t>国家</w:t>
            </w:r>
            <w:r>
              <w:rPr>
                <w:rFonts w:ascii="Times New Roman" w:hAnsi="Times New Roman" w:eastAsia="仿宋_GB2312"/>
                <w:color w:val="auto"/>
                <w:kern w:val="0"/>
                <w:szCs w:val="21"/>
              </w:rPr>
              <w:t>卫生标准和要求，</w:t>
            </w:r>
            <w:r>
              <w:rPr>
                <w:rFonts w:hint="eastAsia" w:ascii="Times New Roman" w:hAnsi="Times New Roman" w:eastAsia="仿宋_GB2312"/>
                <w:color w:val="auto"/>
                <w:kern w:val="0"/>
                <w:szCs w:val="21"/>
                <w:lang w:eastAsia="zh-CN"/>
              </w:rPr>
              <w:t>或</w:t>
            </w:r>
            <w:r>
              <w:rPr>
                <w:rFonts w:ascii="Times New Roman" w:hAnsi="Times New Roman" w:eastAsia="仿宋_GB2312"/>
                <w:color w:val="auto"/>
                <w:kern w:val="0"/>
                <w:szCs w:val="21"/>
              </w:rPr>
              <w:t>不配合卫生计生行政部门</w:t>
            </w:r>
            <w:r>
              <w:rPr>
                <w:rFonts w:hint="eastAsia" w:ascii="Times New Roman" w:hAnsi="Times New Roman" w:eastAsia="仿宋_GB2312"/>
                <w:color w:val="auto"/>
                <w:kern w:val="0"/>
                <w:szCs w:val="21"/>
                <w:lang w:eastAsia="zh-CN"/>
              </w:rPr>
              <w:t>查处，</w:t>
            </w:r>
            <w:r>
              <w:rPr>
                <w:rFonts w:ascii="Times New Roman" w:hAnsi="Times New Roman" w:eastAsia="仿宋_GB2312"/>
                <w:color w:val="auto"/>
                <w:kern w:val="0"/>
                <w:szCs w:val="21"/>
              </w:rPr>
              <w:t>或</w:t>
            </w:r>
            <w:r>
              <w:rPr>
                <w:rFonts w:ascii="Times New Roman" w:hAnsi="Times New Roman" w:eastAsia="仿宋_GB2312"/>
                <w:color w:val="000000"/>
                <w:kern w:val="0"/>
                <w:szCs w:val="21"/>
              </w:rPr>
              <w:t>造成一般性不良影响和危害后果的。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w:t>
            </w:r>
            <w:r>
              <w:rPr>
                <w:rFonts w:ascii="Times New Roman" w:hAnsi="Times New Roman" w:eastAsia="仿宋_GB2312"/>
                <w:color w:val="000000"/>
                <w:kern w:val="0"/>
                <w:szCs w:val="21"/>
              </w:rPr>
              <w:t>，以及其它严重危害后果的</w:t>
            </w:r>
            <w:r>
              <w:rPr>
                <w:rFonts w:hint="eastAsia" w:ascii="Times New Roman" w:hAnsi="Times New Roman" w:eastAsia="仿宋_GB2312"/>
                <w:color w:val="000000"/>
                <w:kern w:val="0"/>
                <w:szCs w:val="21"/>
                <w:lang w:eastAsia="zh-CN"/>
              </w:rPr>
              <w:t>等</w:t>
            </w:r>
            <w:r>
              <w:rPr>
                <w:rFonts w:ascii="Times New Roman" w:hAnsi="Times New Roman" w:eastAsia="仿宋_GB2312"/>
                <w:color w:val="00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6</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未按照规定对顾客用品用具进行清洗、消毒、保洁；或者重复使用一次性用品用具的。</w:t>
            </w:r>
          </w:p>
        </w:tc>
        <w:tc>
          <w:tcPr>
            <w:tcW w:w="3797" w:type="dxa"/>
            <w:vMerge w:val="restart"/>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违法条款：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《细则》第十四条“公共场所经营者提供给顾客使用的用品用具应当保证卫生安全，可以反复使用的用品用具应当一客一换，按照有关卫生标准和要求清洗、消毒、保洁。禁止重复使用一次性用品用具”。</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《条例》第三条第一款第（一）</w:t>
            </w:r>
            <w:r>
              <w:rPr>
                <w:rFonts w:hint="eastAsia" w:ascii="仿宋_GB2312" w:hAnsi="仿宋_GB2312" w:eastAsia="仿宋_GB2312" w:cs="仿宋_GB2312"/>
                <w:color w:val="000000"/>
                <w:kern w:val="0"/>
                <w:sz w:val="21"/>
                <w:szCs w:val="21"/>
                <w:lang w:val="en-US" w:eastAsia="zh-CN" w:bidi="ar-SA"/>
              </w:rPr>
              <w:t>∽</w:t>
            </w:r>
            <w:r>
              <w:rPr>
                <w:rFonts w:hint="eastAsia" w:ascii="Times New Roman" w:hAnsi="Times New Roman" w:eastAsia="仿宋_GB2312" w:cs="Times New Roman"/>
                <w:color w:val="000000"/>
                <w:kern w:val="0"/>
                <w:sz w:val="21"/>
                <w:szCs w:val="21"/>
                <w:lang w:val="en-US" w:eastAsia="zh-CN" w:bidi="ar-SA"/>
              </w:rPr>
              <w:t>（五）项公共场所的下列项目应符合国家卫生标准和要求：</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（一）空气、微小气候（湿度、温度、风速）；（二）水质；（三）采光、照明；（四）噪音；（五）顾客用具和卫生设施。（</w:t>
            </w:r>
            <w:r>
              <w:rPr>
                <w:rFonts w:ascii="Times New Roman" w:hAnsi="Times New Roman" w:eastAsia="仿宋_GB2312"/>
                <w:color w:val="000000"/>
                <w:kern w:val="0"/>
                <w:sz w:val="21"/>
                <w:szCs w:val="21"/>
              </w:rPr>
              <w:t>逾期不改正，造成公共场所卫生质量不符合卫生标准和要求</w:t>
            </w:r>
            <w:r>
              <w:rPr>
                <w:rFonts w:hint="eastAsia" w:ascii="Times New Roman" w:hAnsi="Times New Roman" w:eastAsia="仿宋_GB2312"/>
                <w:color w:val="000000"/>
                <w:kern w:val="0"/>
                <w:sz w:val="21"/>
                <w:szCs w:val="21"/>
                <w:lang w:eastAsia="zh-CN"/>
              </w:rPr>
              <w:t>时</w:t>
            </w:r>
            <w:r>
              <w:rPr>
                <w:rFonts w:hint="eastAsia" w:ascii="Times New Roman" w:hAnsi="Times New Roman" w:eastAsia="仿宋_GB2312" w:cs="Times New Roman"/>
                <w:color w:val="000000"/>
                <w:kern w:val="0"/>
                <w:sz w:val="21"/>
                <w:szCs w:val="21"/>
                <w:lang w:val="en-US" w:eastAsia="zh-CN" w:bidi="ar-SA"/>
              </w:rPr>
              <w:t>）</w:t>
            </w:r>
          </w:p>
          <w:p>
            <w:pPr>
              <w:snapToGrid w:val="0"/>
              <w:ind w:firstLine="420" w:firstLineChars="20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eastAsia="zh-CN"/>
              </w:rPr>
              <w:t>依据条款：</w:t>
            </w:r>
            <w:r>
              <w:rPr>
                <w:rFonts w:ascii="Times New Roman" w:hAnsi="Times New Roman" w:eastAsia="仿宋_GB2312"/>
                <w:color w:val="000000"/>
                <w:kern w:val="0"/>
                <w:szCs w:val="21"/>
              </w:rPr>
              <w:t>《细则》第三十六条</w:t>
            </w:r>
            <w:r>
              <w:rPr>
                <w:rFonts w:hint="eastAsia" w:ascii="Times New Roman" w:hAnsi="Times New Roman" w:eastAsia="仿宋_GB2312"/>
                <w:color w:val="000000"/>
                <w:kern w:val="0"/>
                <w:szCs w:val="21"/>
                <w:lang w:eastAsia="zh-CN"/>
              </w:rPr>
              <w:t>第</w:t>
            </w:r>
            <w:r>
              <w:rPr>
                <w:rFonts w:ascii="Times New Roman" w:hAnsi="Times New Roman" w:eastAsia="仿宋_GB2312"/>
                <w:color w:val="000000"/>
                <w:kern w:val="0"/>
                <w:szCs w:val="21"/>
              </w:rPr>
              <w:t>（</w:t>
            </w:r>
            <w:r>
              <w:rPr>
                <w:rFonts w:hint="eastAsia" w:ascii="Times New Roman" w:hAnsi="Times New Roman" w:eastAsia="仿宋_GB2312"/>
                <w:color w:val="000000"/>
                <w:kern w:val="0"/>
                <w:szCs w:val="21"/>
                <w:lang w:eastAsia="zh-CN"/>
              </w:rPr>
              <w:t>二</w:t>
            </w:r>
            <w:r>
              <w:rPr>
                <w:rFonts w:ascii="Times New Roman" w:hAnsi="Times New Roman" w:eastAsia="仿宋_GB2312"/>
                <w:color w:val="000000"/>
                <w:kern w:val="0"/>
                <w:szCs w:val="21"/>
              </w:rPr>
              <w:t>）</w:t>
            </w:r>
            <w:r>
              <w:rPr>
                <w:rFonts w:hint="eastAsia" w:ascii="Times New Roman" w:hAnsi="Times New Roman" w:eastAsia="仿宋_GB2312"/>
                <w:color w:val="000000"/>
                <w:kern w:val="0"/>
                <w:szCs w:val="21"/>
                <w:lang w:eastAsia="zh-CN"/>
              </w:rPr>
              <w:t>项：</w:t>
            </w:r>
            <w:r>
              <w:rPr>
                <w:rFonts w:ascii="Times New Roman" w:hAnsi="Times New Roman" w:eastAsia="仿宋_GB2312"/>
                <w:color w:val="000000"/>
                <w:kern w:val="0"/>
                <w:szCs w:val="21"/>
              </w:rPr>
              <w:t>公共场所经营者有下列情形之一的，由县级以上地方人民政府卫生计生行政部门责令限期改正，给予警告，并可处以二千元以下罚款；逾期不改正，造成公共场所卫生质量不符合卫生标准和要求的，处以二千元以上二万元以下罚款；情节严重的，可以依法责令停业整顿，直至吊销卫生许可证:（二）未按照规定对顾客用品用具进行清洗、消毒、保洁；或者重复使用一次性用品用具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kern w:val="0"/>
                <w:szCs w:val="21"/>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olor w:val="000000"/>
                <w:kern w:val="0"/>
                <w:sz w:val="21"/>
                <w:szCs w:val="21"/>
              </w:rPr>
              <w:t>第十四条</w:t>
            </w:r>
            <w:r>
              <w:rPr>
                <w:rFonts w:hint="eastAsia" w:ascii="Times New Roman" w:hAnsi="Times New Roman" w:eastAsia="仿宋_GB2312"/>
                <w:color w:val="000000"/>
                <w:kern w:val="0"/>
                <w:sz w:val="21"/>
                <w:szCs w:val="21"/>
                <w:lang w:eastAsia="zh-CN"/>
              </w:rPr>
              <w:t>第一款第（一）项</w:t>
            </w:r>
            <w:r>
              <w:rPr>
                <w:rFonts w:hint="eastAsia" w:ascii="Times New Roman" w:hAnsi="Times New Roman" w:eastAsia="仿宋_GB2312"/>
                <w:color w:val="000000"/>
                <w:kern w:val="0"/>
                <w:sz w:val="21"/>
                <w:szCs w:val="21"/>
                <w:lang w:val="en-US" w:eastAsia="zh-CN"/>
              </w:rPr>
              <w:t xml:space="preserve"> </w:t>
            </w:r>
            <w:r>
              <w:rPr>
                <w:rFonts w:hint="eastAsia" w:ascii="Times New Roman" w:hAnsi="Times New Roman" w:eastAsia="仿宋_GB2312"/>
                <w:color w:val="000000"/>
                <w:kern w:val="0"/>
                <w:sz w:val="21"/>
                <w:szCs w:val="21"/>
              </w:rPr>
              <w:t>凡有下列行为之一的单位或者个人，卫生防疫机构可以根据情节轻重，给予警告、罚款、停业整顿、吊销“卫生许可证”的行政处罚：（一）卫生质量不符合国家卫生标准和要求，而继续营业的；</w:t>
            </w:r>
            <w:r>
              <w:rPr>
                <w:rFonts w:hint="eastAsia" w:ascii="Times New Roman" w:hAnsi="Times New Roman" w:eastAsia="仿宋_GB2312" w:cs="Times New Roman"/>
                <w:color w:val="000000"/>
                <w:kern w:val="0"/>
                <w:sz w:val="21"/>
                <w:szCs w:val="21"/>
                <w:lang w:val="en-US" w:eastAsia="zh-CN" w:bidi="ar-SA"/>
              </w:rPr>
              <w:t>（</w:t>
            </w:r>
            <w:r>
              <w:rPr>
                <w:rFonts w:ascii="Times New Roman" w:hAnsi="Times New Roman" w:eastAsia="仿宋_GB2312"/>
                <w:color w:val="000000"/>
                <w:kern w:val="0"/>
                <w:sz w:val="21"/>
                <w:szCs w:val="21"/>
              </w:rPr>
              <w:t>逾期不改正，造成公共场所卫生质量不符合卫生标准和要求</w:t>
            </w:r>
            <w:r>
              <w:rPr>
                <w:rFonts w:hint="eastAsia" w:ascii="Times New Roman" w:hAnsi="Times New Roman" w:eastAsia="仿宋_GB2312"/>
                <w:color w:val="000000"/>
                <w:kern w:val="0"/>
                <w:sz w:val="21"/>
                <w:szCs w:val="21"/>
                <w:lang w:eastAsia="zh-CN"/>
              </w:rPr>
              <w:t>时</w:t>
            </w:r>
            <w:r>
              <w:rPr>
                <w:rFonts w:hint="eastAsia" w:ascii="Times New Roman" w:hAnsi="Times New Roman" w:eastAsia="仿宋_GB2312" w:cs="Times New Roman"/>
                <w:color w:val="000000"/>
                <w:kern w:val="0"/>
                <w:sz w:val="21"/>
                <w:szCs w:val="21"/>
                <w:lang w:val="en-US" w:eastAsia="zh-CN" w:bidi="ar-SA"/>
              </w:rPr>
              <w:t>）</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警告、罚款。</w:t>
            </w:r>
          </w:p>
        </w:tc>
        <w:tc>
          <w:tcPr>
            <w:tcW w:w="3327" w:type="dxa"/>
            <w:vAlign w:val="center"/>
          </w:tcPr>
          <w:p>
            <w:pPr>
              <w:snapToGrid w:val="0"/>
              <w:rPr>
                <w:rFonts w:ascii="Times New Roman" w:hAnsi="Times New Roman" w:eastAsia="仿宋_GB2312"/>
                <w:color w:val="FF0000"/>
                <w:kern w:val="0"/>
                <w:szCs w:val="21"/>
              </w:rPr>
            </w:pPr>
            <w:r>
              <w:rPr>
                <w:rFonts w:ascii="Times New Roman" w:hAnsi="Times New Roman" w:eastAsia="仿宋_GB2312"/>
                <w:color w:val="000000"/>
                <w:kern w:val="0"/>
                <w:szCs w:val="21"/>
              </w:rPr>
              <w:t>造成公共场所卫生质量</w:t>
            </w:r>
            <w:r>
              <w:rPr>
                <w:rFonts w:hint="eastAsia" w:ascii="Times New Roman" w:hAnsi="Times New Roman" w:eastAsia="仿宋_GB2312"/>
                <w:color w:val="auto"/>
                <w:kern w:val="0"/>
                <w:szCs w:val="21"/>
                <w:lang w:eastAsia="zh-CN"/>
              </w:rPr>
              <w:t>有</w:t>
            </w:r>
            <w:r>
              <w:rPr>
                <w:rFonts w:hint="default" w:ascii="Times New Roman" w:hAnsi="Times New Roman" w:eastAsia="仿宋_GB2312"/>
                <w:color w:val="auto"/>
                <w:kern w:val="0"/>
                <w:szCs w:val="21"/>
                <w:lang w:val="en-US" w:eastAsia="zh-CN"/>
              </w:rPr>
              <w:t>2</w:t>
            </w:r>
            <w:r>
              <w:rPr>
                <w:rFonts w:hint="eastAsia" w:ascii="Times New Roman" w:hAnsi="Times New Roman" w:eastAsia="仿宋_GB2312"/>
                <w:color w:val="auto"/>
                <w:kern w:val="0"/>
                <w:szCs w:val="21"/>
                <w:lang w:val="en-US" w:eastAsia="zh-CN"/>
              </w:rPr>
              <w:t>项以下相关卫生指标</w:t>
            </w:r>
            <w:r>
              <w:rPr>
                <w:rFonts w:ascii="Times New Roman" w:hAnsi="Times New Roman" w:eastAsia="仿宋_GB2312"/>
                <w:color w:val="auto"/>
                <w:kern w:val="0"/>
                <w:szCs w:val="21"/>
              </w:rPr>
              <w:t>不符合</w:t>
            </w:r>
            <w:r>
              <w:rPr>
                <w:rFonts w:hint="eastAsia" w:ascii="Times New Roman" w:hAnsi="Times New Roman" w:eastAsia="仿宋_GB2312"/>
                <w:color w:val="auto"/>
                <w:kern w:val="0"/>
                <w:szCs w:val="21"/>
                <w:lang w:eastAsia="zh-CN"/>
              </w:rPr>
              <w:t>国家</w:t>
            </w:r>
            <w:r>
              <w:rPr>
                <w:rFonts w:ascii="Times New Roman" w:hAnsi="Times New Roman" w:eastAsia="仿宋_GB2312"/>
                <w:color w:val="auto"/>
                <w:kern w:val="0"/>
                <w:szCs w:val="21"/>
              </w:rPr>
              <w:t>卫生标准和</w:t>
            </w:r>
            <w:r>
              <w:rPr>
                <w:rFonts w:ascii="Times New Roman" w:hAnsi="Times New Roman" w:eastAsia="仿宋_GB2312"/>
                <w:color w:val="000000"/>
                <w:kern w:val="0"/>
                <w:szCs w:val="21"/>
              </w:rPr>
              <w:t>要求</w:t>
            </w:r>
          </w:p>
        </w:tc>
        <w:tc>
          <w:tcPr>
            <w:tcW w:w="2688" w:type="dxa"/>
            <w:vAlign w:val="center"/>
          </w:tcPr>
          <w:p>
            <w:pPr>
              <w:snapToGrid w:val="0"/>
              <w:rPr>
                <w:rFonts w:ascii="Times New Roman" w:hAnsi="Times New Roman" w:eastAsia="仿宋_GB2312"/>
                <w:color w:val="FF0000"/>
                <w:kern w:val="0"/>
                <w:szCs w:val="21"/>
              </w:rPr>
            </w:pPr>
            <w:r>
              <w:rPr>
                <w:rFonts w:ascii="Times New Roman" w:hAnsi="Times New Roman" w:eastAsia="仿宋_GB2312"/>
                <w:color w:val="FF0000"/>
                <w:kern w:val="0"/>
                <w:szCs w:val="21"/>
              </w:rPr>
              <w:t>给予警告，并可处以二千元以下罚款。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逾期不改正，造成公共场所卫生质量</w:t>
            </w:r>
            <w:r>
              <w:rPr>
                <w:rFonts w:hint="eastAsia" w:ascii="Times New Roman" w:hAnsi="Times New Roman" w:eastAsia="仿宋_GB2312"/>
                <w:color w:val="auto"/>
                <w:kern w:val="0"/>
                <w:szCs w:val="21"/>
                <w:lang w:eastAsia="zh-CN"/>
              </w:rPr>
              <w:t>有</w:t>
            </w:r>
            <w:r>
              <w:rPr>
                <w:rFonts w:hint="eastAsia" w:ascii="Times New Roman" w:hAnsi="Times New Roman" w:eastAsia="仿宋_GB2312"/>
                <w:color w:val="auto"/>
                <w:kern w:val="0"/>
                <w:szCs w:val="21"/>
                <w:lang w:val="en-US" w:eastAsia="zh-CN"/>
              </w:rPr>
              <w:t>3项相关卫生指标</w:t>
            </w:r>
            <w:r>
              <w:rPr>
                <w:rFonts w:ascii="Times New Roman" w:hAnsi="Times New Roman" w:eastAsia="仿宋_GB2312"/>
                <w:color w:val="auto"/>
                <w:kern w:val="0"/>
                <w:szCs w:val="21"/>
              </w:rPr>
              <w:t>不符合</w:t>
            </w:r>
            <w:r>
              <w:rPr>
                <w:rFonts w:hint="eastAsia" w:ascii="Times New Roman" w:hAnsi="Times New Roman" w:eastAsia="仿宋_GB2312"/>
                <w:color w:val="auto"/>
                <w:kern w:val="0"/>
                <w:szCs w:val="21"/>
                <w:lang w:eastAsia="zh-CN"/>
              </w:rPr>
              <w:t>国家</w:t>
            </w:r>
            <w:r>
              <w:rPr>
                <w:rFonts w:ascii="Times New Roman" w:hAnsi="Times New Roman" w:eastAsia="仿宋_GB2312"/>
                <w:color w:val="auto"/>
                <w:kern w:val="0"/>
                <w:szCs w:val="21"/>
              </w:rPr>
              <w:t>卫生标准和</w:t>
            </w:r>
            <w:r>
              <w:rPr>
                <w:rFonts w:ascii="Times New Roman" w:hAnsi="Times New Roman" w:eastAsia="仿宋_GB2312"/>
                <w:color w:val="000000"/>
                <w:kern w:val="0"/>
                <w:szCs w:val="21"/>
              </w:rPr>
              <w:t>要求，配合卫生行政部门查处的。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处以二千元以上一万元以下罚款。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tcBorders/>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逾期不改正，造成公共场所卫生质量</w:t>
            </w:r>
            <w:r>
              <w:rPr>
                <w:rFonts w:hint="eastAsia" w:ascii="Times New Roman" w:hAnsi="Times New Roman" w:eastAsia="仿宋_GB2312"/>
                <w:color w:val="auto"/>
                <w:kern w:val="0"/>
                <w:szCs w:val="21"/>
                <w:lang w:eastAsia="zh-CN"/>
              </w:rPr>
              <w:t>有</w:t>
            </w:r>
            <w:r>
              <w:rPr>
                <w:rFonts w:hint="eastAsia" w:ascii="Times New Roman" w:hAnsi="Times New Roman" w:eastAsia="仿宋_GB2312"/>
                <w:color w:val="auto"/>
                <w:kern w:val="0"/>
                <w:szCs w:val="21"/>
                <w:lang w:val="en-US" w:eastAsia="zh-CN"/>
              </w:rPr>
              <w:t>4项以上相关卫生指标</w:t>
            </w:r>
            <w:r>
              <w:rPr>
                <w:rFonts w:ascii="Times New Roman" w:hAnsi="Times New Roman" w:eastAsia="仿宋_GB2312"/>
                <w:color w:val="auto"/>
                <w:kern w:val="0"/>
                <w:szCs w:val="21"/>
              </w:rPr>
              <w:t>不符合</w:t>
            </w:r>
            <w:r>
              <w:rPr>
                <w:rFonts w:hint="eastAsia" w:ascii="Times New Roman" w:hAnsi="Times New Roman" w:eastAsia="仿宋_GB2312"/>
                <w:color w:val="auto"/>
                <w:kern w:val="0"/>
                <w:szCs w:val="21"/>
                <w:lang w:eastAsia="zh-CN"/>
              </w:rPr>
              <w:t>国家</w:t>
            </w:r>
            <w:r>
              <w:rPr>
                <w:rFonts w:ascii="Times New Roman" w:hAnsi="Times New Roman" w:eastAsia="仿宋_GB2312"/>
                <w:color w:val="auto"/>
                <w:kern w:val="0"/>
                <w:szCs w:val="21"/>
              </w:rPr>
              <w:t>卫生标准和要求，</w:t>
            </w:r>
            <w:r>
              <w:rPr>
                <w:rFonts w:hint="eastAsia" w:ascii="Times New Roman" w:hAnsi="Times New Roman" w:eastAsia="仿宋_GB2312"/>
                <w:color w:val="auto"/>
                <w:kern w:val="0"/>
                <w:szCs w:val="21"/>
                <w:lang w:eastAsia="zh-CN"/>
              </w:rPr>
              <w:t>或</w:t>
            </w:r>
            <w:r>
              <w:rPr>
                <w:rFonts w:ascii="Times New Roman" w:hAnsi="Times New Roman" w:eastAsia="仿宋_GB2312"/>
                <w:color w:val="auto"/>
                <w:kern w:val="0"/>
                <w:szCs w:val="21"/>
              </w:rPr>
              <w:t>不配合卫生行政部门</w:t>
            </w:r>
            <w:r>
              <w:rPr>
                <w:rFonts w:hint="eastAsia" w:ascii="Times New Roman" w:hAnsi="Times New Roman" w:eastAsia="仿宋_GB2312"/>
                <w:color w:val="auto"/>
                <w:kern w:val="0"/>
                <w:szCs w:val="21"/>
                <w:lang w:eastAsia="zh-CN"/>
              </w:rPr>
              <w:t>查处，</w:t>
            </w:r>
            <w:r>
              <w:rPr>
                <w:rFonts w:ascii="Times New Roman" w:hAnsi="Times New Roman" w:eastAsia="仿宋_GB2312"/>
                <w:color w:val="auto"/>
                <w:kern w:val="0"/>
                <w:szCs w:val="21"/>
              </w:rPr>
              <w:t>或造成一般性不良影响和危害后果的。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w:t>
            </w:r>
            <w:r>
              <w:rPr>
                <w:rFonts w:hint="eastAsia" w:ascii="Times New Roman" w:hAnsi="Times New Roman" w:eastAsia="仿宋_GB2312"/>
                <w:color w:val="auto"/>
                <w:kern w:val="0"/>
                <w:szCs w:val="21"/>
                <w:lang w:eastAsia="zh-CN"/>
              </w:rPr>
              <w:t>等</w:t>
            </w:r>
            <w:r>
              <w:rPr>
                <w:rFonts w:ascii="Times New Roman" w:hAnsi="Times New Roman" w:eastAsia="仿宋_GB2312"/>
                <w:color w:val="auto"/>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7</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未按照规定建立卫生管理制度、设立卫生管理部门或者配备专（兼）职卫生管理人员；或者未建立卫生管理档案的。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rPr>
            </w:pPr>
            <w:r>
              <w:rPr>
                <w:rFonts w:hint="eastAsia" w:ascii="Times New Roman" w:hAnsi="Times New Roman" w:eastAsia="仿宋_GB2312"/>
                <w:color w:val="000000"/>
                <w:kern w:val="0"/>
                <w:sz w:val="21"/>
                <w:szCs w:val="21"/>
                <w:lang w:eastAsia="zh-CN"/>
              </w:rPr>
              <w:t>《条例》</w:t>
            </w:r>
            <w:r>
              <w:rPr>
                <w:rFonts w:hint="eastAsia" w:ascii="Times New Roman" w:hAnsi="Times New Roman" w:eastAsia="仿宋_GB2312"/>
                <w:color w:val="000000"/>
                <w:kern w:val="0"/>
                <w:sz w:val="21"/>
                <w:szCs w:val="21"/>
              </w:rPr>
              <w:t>第五条　公共场所的主管部门应当建立卫生管理制度，配备专职或者兼职卫生管理人员，对所属经营单位（包括个体经营者，下同）的卫生状况进行经常性检查，并提供必要的条件。</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Cs w:val="21"/>
                <w14:textFill>
                  <w14:gradFill>
                    <w14:gsLst>
                      <w14:gs w14:pos="0">
                        <w14:srgbClr w14:val="007BD3"/>
                      </w14:gs>
                      <w14:gs w14:pos="100000">
                        <w14:srgbClr w14:val="034373"/>
                      </w14:gs>
                    </w14:gsLst>
                    <w14:lin w14:scaled="0"/>
                  </w14:gradFill>
                </w14:textFill>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p>
            <w:pPr>
              <w:snapToGrid w:val="0"/>
              <w:ind w:firstLine="420" w:firstLineChars="200"/>
              <w:rPr>
                <w:rFonts w:hint="eastAsia" w:ascii="Times New Roman" w:hAnsi="Times New Roman" w:eastAsia="仿宋_GB2312"/>
                <w:color w:val="000000"/>
                <w:kern w:val="0"/>
                <w:szCs w:val="21"/>
              </w:rPr>
            </w:pPr>
            <w:r>
              <w:rPr>
                <w:rFonts w:hint="eastAsia" w:ascii="Times New Roman" w:hAnsi="Times New Roman" w:eastAsia="仿宋_GB2312"/>
                <w:color w:val="000000"/>
                <w:kern w:val="0"/>
                <w:szCs w:val="21"/>
                <w:lang w:eastAsia="zh-CN"/>
              </w:rPr>
              <w:t>《细则》第七条第二款</w:t>
            </w:r>
            <w:r>
              <w:rPr>
                <w:rFonts w:hint="eastAsia" w:ascii="Times New Roman" w:hAnsi="Times New Roman" w:eastAsia="仿宋_GB2312"/>
                <w:color w:val="000000"/>
                <w:kern w:val="0"/>
                <w:szCs w:val="21"/>
                <w:lang w:val="en-US" w:eastAsia="zh-CN"/>
              </w:rPr>
              <w:t xml:space="preserve"> </w:t>
            </w:r>
            <w:r>
              <w:rPr>
                <w:rFonts w:hint="eastAsia" w:ascii="Times New Roman" w:hAnsi="Times New Roman" w:eastAsia="仿宋_GB2312"/>
                <w:color w:val="000000"/>
                <w:kern w:val="0"/>
                <w:szCs w:val="21"/>
              </w:rPr>
              <w:t>公共场所经营者应当设立卫生管理部门或者配备专（兼）职卫生管理人员，具体负责本公共场所的卫生工作，建立健全卫生管理制度和卫生管理档案。</w:t>
            </w:r>
          </w:p>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依据条款：</w:t>
            </w:r>
          </w:p>
          <w:p>
            <w:pPr>
              <w:snapToGrid w:val="0"/>
              <w:ind w:firstLine="420" w:firstLineChars="200"/>
              <w:rPr>
                <w:rFonts w:ascii="Times New Roman" w:hAnsi="Times New Roman" w:eastAsia="仿宋_GB2312"/>
                <w:color w:val="000000"/>
                <w:kern w:val="0"/>
                <w:szCs w:val="21"/>
              </w:rPr>
            </w:pPr>
            <w:r>
              <w:rPr>
                <w:rFonts w:ascii="Times New Roman" w:hAnsi="Times New Roman" w:eastAsia="仿宋_GB2312"/>
                <w:color w:val="000000"/>
                <w:kern w:val="0"/>
                <w:szCs w:val="21"/>
              </w:rPr>
              <w:t>《</w:t>
            </w:r>
            <w:r>
              <w:rPr>
                <w:rFonts w:ascii="Times New Roman" w:hAnsi="Times New Roman" w:eastAsia="仿宋_GB2312"/>
                <w:color w:val="000000"/>
                <w:szCs w:val="21"/>
              </w:rPr>
              <w:t>细则》第三十七条</w:t>
            </w:r>
            <w:r>
              <w:rPr>
                <w:rFonts w:hint="eastAsia" w:ascii="Times New Roman" w:hAnsi="Times New Roman" w:eastAsia="仿宋_GB2312"/>
                <w:color w:val="000000"/>
                <w:szCs w:val="21"/>
                <w:lang w:eastAsia="zh-CN"/>
              </w:rPr>
              <w:t>第（一）项</w:t>
            </w:r>
            <w:r>
              <w:rPr>
                <w:rFonts w:ascii="Times New Roman" w:hAnsi="Times New Roman" w:eastAsia="仿宋_GB2312"/>
                <w:color w:val="000000"/>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w:t>
            </w:r>
            <w:r>
              <w:rPr>
                <w:rFonts w:ascii="Times New Roman" w:hAnsi="Times New Roman" w:eastAsia="仿宋_GB2312"/>
                <w:color w:val="000000"/>
                <w:kern w:val="0"/>
                <w:szCs w:val="21"/>
              </w:rPr>
              <w:t xml:space="preserve"> </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kern w:val="0"/>
                <w:szCs w:val="21"/>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auto"/>
                <w:szCs w:val="21"/>
              </w:rPr>
            </w:pPr>
            <w:r>
              <w:rPr>
                <w:rFonts w:ascii="Times New Roman" w:hAnsi="Times New Roman" w:eastAsia="仿宋_GB2312"/>
                <w:color w:val="auto"/>
                <w:szCs w:val="21"/>
              </w:rPr>
              <w:t>拒绝监督，但经教育能改正的。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w:t>
            </w:r>
            <w:r>
              <w:rPr>
                <w:rFonts w:hint="eastAsia" w:ascii="Times New Roman" w:hAnsi="Times New Roman" w:eastAsia="仿宋_GB2312"/>
                <w:color w:val="auto"/>
                <w:kern w:val="0"/>
                <w:szCs w:val="21"/>
                <w:lang w:eastAsia="zh-CN"/>
              </w:rPr>
              <w:t>等</w:t>
            </w:r>
            <w:r>
              <w:rPr>
                <w:rFonts w:ascii="Times New Roman" w:hAnsi="Times New Roman" w:eastAsia="仿宋_GB2312"/>
                <w:color w:val="auto"/>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8</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未按照规定组织从业人员进行相关卫生法律知识和公共场所卫生知识培训；或者安排未经相关卫生法律知识和公共场所卫生知识培训考核的从业人员上岗的。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snapToGrid w:val="0"/>
              <w:ind w:firstLine="420" w:firstLineChars="200"/>
              <w:rPr>
                <w:rFonts w:hint="eastAsia" w:ascii="Times New Roman" w:hAnsi="Times New Roman" w:eastAsia="仿宋_GB2312"/>
                <w:color w:val="000000"/>
                <w:szCs w:val="21"/>
              </w:rPr>
            </w:pPr>
            <w:r>
              <w:rPr>
                <w:rFonts w:hint="eastAsia" w:ascii="Times New Roman" w:hAnsi="Times New Roman" w:eastAsia="仿宋_GB2312"/>
                <w:color w:val="000000"/>
                <w:kern w:val="0"/>
                <w:szCs w:val="21"/>
                <w:lang w:eastAsia="zh-CN"/>
              </w:rPr>
              <w:t>《条例》</w:t>
            </w:r>
            <w:r>
              <w:rPr>
                <w:rFonts w:hint="eastAsia" w:ascii="Times New Roman" w:hAnsi="Times New Roman" w:eastAsia="仿宋_GB2312"/>
                <w:color w:val="000000"/>
                <w:szCs w:val="21"/>
              </w:rPr>
              <w:t>第六条　经营单位应当负责所经营的公共场所的卫生管理，建立卫生责任制度，对本单位的从业人员进行卫生知识的培训和考核工作。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szCs w:val="21"/>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p>
            <w:pPr>
              <w:snapToGrid w:val="0"/>
              <w:ind w:firstLine="420" w:firstLineChars="200"/>
              <w:rPr>
                <w:rFonts w:hint="eastAsia" w:ascii="Times New Roman" w:hAnsi="Times New Roman" w:eastAsia="仿宋_GB2312"/>
                <w:color w:val="000000"/>
                <w:szCs w:val="21"/>
              </w:rPr>
            </w:pPr>
            <w:r>
              <w:rPr>
                <w:rFonts w:hint="eastAsia" w:ascii="Times New Roman" w:hAnsi="Times New Roman" w:eastAsia="仿宋_GB2312"/>
                <w:color w:val="000000"/>
                <w:szCs w:val="21"/>
                <w:lang w:eastAsia="zh-CN"/>
              </w:rPr>
              <w:t>《细则》第九条</w:t>
            </w:r>
            <w:r>
              <w:rPr>
                <w:rFonts w:hint="eastAsia" w:ascii="Times New Roman" w:hAnsi="Times New Roman" w:eastAsia="仿宋_GB2312"/>
                <w:color w:val="000000"/>
                <w:szCs w:val="21"/>
                <w:lang w:val="en-US" w:eastAsia="zh-CN"/>
              </w:rPr>
              <w:t xml:space="preserve">  </w:t>
            </w:r>
            <w:r>
              <w:rPr>
                <w:rFonts w:hint="eastAsia" w:ascii="Times New Roman" w:hAnsi="Times New Roman" w:eastAsia="仿宋_GB2312"/>
                <w:color w:val="000000"/>
                <w:szCs w:val="21"/>
              </w:rPr>
              <w:t>公共场所经营者应当建立卫生培训制度，组织从业人员学习相关卫生法律知识和公共场所卫生知识，并进行考核。对考核不合格的，不得安排上岗。</w:t>
            </w:r>
          </w:p>
          <w:p>
            <w:pPr>
              <w:snapToGrid w:val="0"/>
              <w:ind w:firstLine="420" w:firstLineChars="200"/>
              <w:rPr>
                <w:rFonts w:hint="eastAsia" w:ascii="Times New Roman" w:hAnsi="Times New Roman" w:eastAsia="仿宋_GB2312"/>
                <w:color w:val="000000"/>
                <w:szCs w:val="21"/>
                <w:lang w:eastAsia="zh-CN"/>
              </w:rPr>
            </w:pPr>
            <w:r>
              <w:rPr>
                <w:rFonts w:hint="eastAsia" w:ascii="Times New Roman" w:hAnsi="Times New Roman" w:eastAsia="仿宋_GB2312"/>
                <w:color w:val="000000"/>
                <w:szCs w:val="21"/>
                <w:lang w:eastAsia="zh-CN"/>
              </w:rPr>
              <w:t>依据条款：</w:t>
            </w:r>
          </w:p>
          <w:p>
            <w:pPr>
              <w:snapToGrid w:val="0"/>
              <w:ind w:firstLine="420" w:firstLineChars="200"/>
              <w:rPr>
                <w:rFonts w:ascii="Times New Roman" w:hAnsi="Times New Roman" w:eastAsia="仿宋_GB2312"/>
                <w:color w:val="000000"/>
                <w:szCs w:val="21"/>
              </w:rPr>
            </w:pPr>
            <w:r>
              <w:rPr>
                <w:rFonts w:ascii="Times New Roman" w:hAnsi="Times New Roman" w:eastAsia="仿宋_GB2312"/>
                <w:color w:val="000000"/>
                <w:kern w:val="0"/>
                <w:szCs w:val="21"/>
              </w:rPr>
              <w:t>《</w:t>
            </w:r>
            <w:r>
              <w:rPr>
                <w:rFonts w:ascii="Times New Roman" w:hAnsi="Times New Roman" w:eastAsia="仿宋_GB2312"/>
                <w:color w:val="000000"/>
                <w:szCs w:val="21"/>
              </w:rPr>
              <w:t>细则》第三十七条</w:t>
            </w:r>
            <w:r>
              <w:rPr>
                <w:rFonts w:hint="eastAsia" w:ascii="Times New Roman" w:hAnsi="Times New Roman" w:eastAsia="仿宋_GB2312"/>
                <w:color w:val="000000"/>
                <w:szCs w:val="21"/>
                <w:lang w:eastAsia="zh-CN"/>
              </w:rPr>
              <w:t>第</w:t>
            </w:r>
            <w:r>
              <w:rPr>
                <w:rFonts w:ascii="Times New Roman" w:hAnsi="Times New Roman" w:eastAsia="仿宋_GB2312"/>
                <w:color w:val="000000"/>
                <w:szCs w:val="21"/>
              </w:rPr>
              <w:t>（</w:t>
            </w:r>
            <w:r>
              <w:rPr>
                <w:rFonts w:hint="eastAsia" w:ascii="Times New Roman" w:hAnsi="Times New Roman" w:eastAsia="仿宋_GB2312"/>
                <w:color w:val="000000"/>
                <w:szCs w:val="21"/>
                <w:lang w:eastAsia="zh-CN"/>
              </w:rPr>
              <w:t>二</w:t>
            </w:r>
            <w:r>
              <w:rPr>
                <w:rFonts w:ascii="Times New Roman" w:hAnsi="Times New Roman" w:eastAsia="仿宋_GB2312"/>
                <w:color w:val="000000"/>
                <w:szCs w:val="21"/>
              </w:rPr>
              <w:t>）</w:t>
            </w:r>
            <w:r>
              <w:rPr>
                <w:rFonts w:hint="eastAsia" w:ascii="Times New Roman" w:hAnsi="Times New Roman" w:eastAsia="仿宋_GB2312"/>
                <w:color w:val="000000"/>
                <w:szCs w:val="21"/>
                <w:lang w:eastAsia="zh-CN"/>
              </w:rPr>
              <w:t>项：</w:t>
            </w:r>
            <w:r>
              <w:rPr>
                <w:rFonts w:ascii="Times New Roman" w:hAnsi="Times New Roman" w:eastAsia="仿宋_GB2312"/>
                <w:color w:val="000000"/>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二）未按照规定组织从业人员进行相关卫生法律知识和公共场所卫生知识培训；或者安排未经相关卫生法律知识和公共场所卫生知识培训考核的从业人员上岗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szCs w:val="21"/>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拒绝监督，但经教育能改正的。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9"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w:t>
            </w:r>
            <w:r>
              <w:rPr>
                <w:rFonts w:ascii="Times New Roman" w:hAnsi="Times New Roman" w:eastAsia="仿宋_GB2312"/>
                <w:color w:val="000000"/>
                <w:kern w:val="0"/>
                <w:szCs w:val="21"/>
              </w:rPr>
              <w:t>，以及其它严重危害后果的</w:t>
            </w:r>
            <w:r>
              <w:rPr>
                <w:rFonts w:hint="eastAsia" w:ascii="Times New Roman" w:hAnsi="Times New Roman" w:eastAsia="仿宋_GB2312"/>
                <w:color w:val="000000"/>
                <w:kern w:val="0"/>
                <w:szCs w:val="21"/>
                <w:lang w:eastAsia="zh-CN"/>
              </w:rPr>
              <w:t>等</w:t>
            </w:r>
            <w:r>
              <w:rPr>
                <w:rFonts w:ascii="Times New Roman" w:hAnsi="Times New Roman" w:eastAsia="仿宋_GB2312"/>
                <w:color w:val="00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9</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未按照规定设置与其经营规模、项目相适应的清洗、消毒、保洁、盥洗等设施设备和公共卫生间；或者擅自停止使用、拆除上述设施设备；或者挪作他用的。</w:t>
            </w:r>
          </w:p>
        </w:tc>
        <w:tc>
          <w:tcPr>
            <w:tcW w:w="3797" w:type="dxa"/>
            <w:vMerge w:val="restart"/>
            <w:vAlign w:val="center"/>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《条例》第三条第一款第（五）项　公共场所的下列项目应符合国家卫生标准和要求：（五）顾客用具和卫生设施。</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《细则》第十五条： 公共场所经营者应当根据经营规模、项目设置清洗、消毒、保洁、盥洗等设施设备和公共卫生间。</w:t>
            </w:r>
            <w:r>
              <w:rPr>
                <w:rFonts w:hint="eastAsia" w:ascii="Times New Roman" w:hAnsi="Times New Roman" w:eastAsia="仿宋_GB2312" w:cs="Times New Roman"/>
                <w:color w:val="000000"/>
                <w:kern w:val="2"/>
                <w:sz w:val="21"/>
                <w:szCs w:val="21"/>
                <w:lang w:val="en-US" w:eastAsia="zh-CN" w:bidi="ar-SA"/>
              </w:rPr>
              <w:br w:type="textWrapping"/>
            </w:r>
            <w:r>
              <w:rPr>
                <w:rFonts w:hint="eastAsia" w:ascii="Times New Roman" w:hAnsi="Times New Roman" w:eastAsia="仿宋_GB2312" w:cs="Times New Roman"/>
                <w:color w:val="000000"/>
                <w:kern w:val="2"/>
                <w:sz w:val="21"/>
                <w:szCs w:val="21"/>
                <w:lang w:val="en-US" w:eastAsia="zh-CN" w:bidi="ar-SA"/>
              </w:rPr>
              <w:t>　　公共场所经营者应当建立卫生设施设备维护制度，定期检查卫生设施设备，确保其正常运行，不得擅自拆除、改造或者挪作他用。公共场所设置的卫生间，应当有单独通风排气设施，保持清洁无异味。</w:t>
            </w:r>
            <w:r>
              <w:rPr>
                <w:rFonts w:hint="eastAsia" w:ascii="仿宋" w:hAnsi="仿宋" w:eastAsia="仿宋"/>
                <w:color w:val="000000"/>
                <w:sz w:val="32"/>
                <w:szCs w:val="32"/>
              </w:rPr>
              <w:br w:type="textWrapping"/>
            </w:r>
            <w:r>
              <w:rPr>
                <w:rFonts w:hint="eastAsia" w:ascii="仿宋" w:hAnsi="仿宋" w:eastAsia="仿宋"/>
                <w:color w:val="000000"/>
                <w:sz w:val="32"/>
                <w:szCs w:val="32"/>
                <w:lang w:val="en-US" w:eastAsia="zh-CN"/>
              </w:rPr>
              <w:t xml:space="preserve">  </w:t>
            </w:r>
            <w:r>
              <w:rPr>
                <w:rFonts w:hint="eastAsia" w:ascii="Times New Roman" w:hAnsi="Times New Roman" w:eastAsia="仿宋_GB2312" w:cs="Times New Roman"/>
                <w:color w:val="000000"/>
                <w:kern w:val="2"/>
                <w:sz w:val="21"/>
                <w:szCs w:val="21"/>
                <w:lang w:val="en-US" w:eastAsia="zh-CN" w:bidi="ar-SA"/>
              </w:rPr>
              <w:t>依据条款：</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细则》第三十七条第（三）项：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三）未按照规定设置与其经营规模、项目相适应的清洗、消毒、保洁、盥洗等设施设备和公共卫生间；或者擅自停止使用、拆除上述设施设备；或者挪作他用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拒绝监督，但经教育能改正的。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94"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w:t>
            </w:r>
            <w:r>
              <w:rPr>
                <w:rFonts w:ascii="Times New Roman" w:hAnsi="Times New Roman" w:eastAsia="仿宋_GB2312"/>
                <w:color w:val="000000"/>
                <w:kern w:val="0"/>
                <w:szCs w:val="21"/>
              </w:rPr>
              <w:t>，以及其它严重危害后果的</w:t>
            </w:r>
            <w:r>
              <w:rPr>
                <w:rFonts w:hint="eastAsia" w:ascii="Times New Roman" w:hAnsi="Times New Roman" w:eastAsia="仿宋_GB2312"/>
                <w:color w:val="000000"/>
                <w:kern w:val="0"/>
                <w:szCs w:val="21"/>
                <w:lang w:eastAsia="zh-CN"/>
              </w:rPr>
              <w:t>等</w:t>
            </w:r>
            <w:r>
              <w:rPr>
                <w:rFonts w:ascii="Times New Roman" w:hAnsi="Times New Roman" w:eastAsia="仿宋_GB2312"/>
                <w:color w:val="00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10</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配备预防控制鼠、蚊、蝇、蟑螂和其他病媒生物的设施设备以及废弃物存放专用设施设备；或者擅自停止使用、拆除预防控制鼠、蚊、蝇、蟑螂和其他病媒生物的设施设备以及废弃物存放专用设施设备的。</w:t>
            </w:r>
          </w:p>
        </w:tc>
        <w:tc>
          <w:tcPr>
            <w:tcW w:w="3797" w:type="dxa"/>
            <w:vMerge w:val="restart"/>
            <w:vAlign w:val="center"/>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《条例》第三条第一款第（五）项：　公共场所的下列项目应符合国家卫生标准和要求：（五）顾客用具和卫生设施。</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《细则》第十六条 公共场所经营者应当配备安全、有效的预防控制蚊、蝇、蟑螂、鼠和其他病媒生物的设施设备及废弃物存放专用设施设备，并保证相关设施设备的正常使用，及时清运废弃物。</w:t>
            </w:r>
          </w:p>
          <w:p>
            <w:pPr>
              <w:numPr>
                <w:ilvl w:val="0"/>
                <w:numId w:val="0"/>
              </w:num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依据条款：</w:t>
            </w:r>
          </w:p>
          <w:p>
            <w:pPr>
              <w:numPr>
                <w:ilvl w:val="0"/>
                <w:numId w:val="0"/>
              </w:numPr>
              <w:snapToGrid w:val="0"/>
              <w:ind w:firstLine="420" w:firstLineChars="200"/>
              <w:rPr>
                <w:rFonts w:ascii="Times New Roman" w:hAnsi="Times New Roman" w:eastAsia="仿宋_GB2312"/>
                <w:color w:val="000000"/>
                <w:szCs w:val="21"/>
              </w:rPr>
            </w:pPr>
            <w:r>
              <w:rPr>
                <w:rFonts w:ascii="Times New Roman" w:hAnsi="Times New Roman" w:eastAsia="仿宋_GB2312"/>
                <w:color w:val="000000"/>
                <w:kern w:val="0"/>
                <w:szCs w:val="21"/>
              </w:rPr>
              <w:t>《</w:t>
            </w:r>
            <w:r>
              <w:rPr>
                <w:rFonts w:ascii="Times New Roman" w:hAnsi="Times New Roman" w:eastAsia="仿宋_GB2312"/>
                <w:color w:val="000000"/>
                <w:szCs w:val="21"/>
              </w:rPr>
              <w:t>细则》第三十七条</w:t>
            </w:r>
            <w:r>
              <w:rPr>
                <w:rFonts w:hint="eastAsia" w:ascii="Times New Roman" w:hAnsi="Times New Roman" w:eastAsia="仿宋_GB2312"/>
                <w:color w:val="000000"/>
                <w:szCs w:val="21"/>
                <w:lang w:eastAsia="zh-CN"/>
              </w:rPr>
              <w:t>第</w:t>
            </w:r>
            <w:r>
              <w:rPr>
                <w:rFonts w:ascii="Times New Roman" w:hAnsi="Times New Roman" w:eastAsia="仿宋_GB2312"/>
                <w:color w:val="000000"/>
                <w:szCs w:val="21"/>
              </w:rPr>
              <w:t>（</w:t>
            </w:r>
            <w:r>
              <w:rPr>
                <w:rFonts w:hint="eastAsia" w:ascii="Times New Roman" w:hAnsi="Times New Roman" w:eastAsia="仿宋_GB2312"/>
                <w:color w:val="000000"/>
                <w:szCs w:val="21"/>
                <w:lang w:eastAsia="zh-CN"/>
              </w:rPr>
              <w:t>四</w:t>
            </w:r>
            <w:r>
              <w:rPr>
                <w:rFonts w:ascii="Times New Roman" w:hAnsi="Times New Roman" w:eastAsia="仿宋_GB2312"/>
                <w:color w:val="000000"/>
                <w:szCs w:val="21"/>
              </w:rPr>
              <w:t>）</w:t>
            </w:r>
            <w:r>
              <w:rPr>
                <w:rFonts w:hint="eastAsia" w:ascii="Times New Roman" w:hAnsi="Times New Roman" w:eastAsia="仿宋_GB2312"/>
                <w:color w:val="000000"/>
                <w:szCs w:val="21"/>
                <w:lang w:eastAsia="zh-CN"/>
              </w:rPr>
              <w:t>项：</w:t>
            </w:r>
            <w:r>
              <w:rPr>
                <w:rFonts w:ascii="Times New Roman" w:hAnsi="Times New Roman" w:eastAsia="仿宋_GB2312"/>
                <w:color w:val="000000"/>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四）未按照规定配备预防控制鼠、蚊、蝇、蟑螂和其他病媒生物的设施设备以及废弃物存放专用设施设备；或者擅自停止使用、拆除预防控制鼠、蚊、蝇、蟑螂和其他病媒生物的设施设备以及废弃物存放专用设施设备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szCs w:val="21"/>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auto"/>
                <w:szCs w:val="21"/>
              </w:rPr>
            </w:pPr>
            <w:r>
              <w:rPr>
                <w:rFonts w:ascii="Times New Roman" w:hAnsi="Times New Roman" w:eastAsia="仿宋_GB2312"/>
                <w:color w:val="auto"/>
                <w:szCs w:val="21"/>
              </w:rPr>
              <w:t>拒绝监督，但经教育能改正的。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2"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w:t>
            </w:r>
            <w:r>
              <w:rPr>
                <w:rFonts w:hint="eastAsia" w:ascii="Times New Roman" w:hAnsi="Times New Roman" w:eastAsia="仿宋_GB2312"/>
                <w:color w:val="auto"/>
                <w:kern w:val="0"/>
                <w:szCs w:val="21"/>
                <w:lang w:eastAsia="zh-CN"/>
              </w:rPr>
              <w:t>等</w:t>
            </w:r>
            <w:r>
              <w:rPr>
                <w:rFonts w:ascii="Times New Roman" w:hAnsi="Times New Roman" w:eastAsia="仿宋_GB2312"/>
                <w:color w:val="auto"/>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11</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未按照规定索取公共卫生用品检验合格证明和其他相关资料的。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snapToGrid w:val="0"/>
              <w:ind w:firstLine="420" w:firstLineChars="200"/>
              <w:rPr>
                <w:rFonts w:hint="eastAsia" w:ascii="Times New Roman" w:hAnsi="Times New Roman" w:eastAsia="仿宋_GB2312"/>
                <w:color w:val="000000"/>
                <w:szCs w:val="21"/>
              </w:rPr>
            </w:pPr>
            <w:r>
              <w:rPr>
                <w:rFonts w:hint="eastAsia" w:ascii="Times New Roman" w:hAnsi="Times New Roman" w:eastAsia="仿宋_GB2312"/>
                <w:color w:val="FF0000"/>
                <w:kern w:val="0"/>
                <w:szCs w:val="21"/>
                <w:lang w:eastAsia="zh-CN"/>
              </w:rPr>
              <w:t>《细则》</w:t>
            </w:r>
            <w:r>
              <w:rPr>
                <w:rFonts w:hint="eastAsia" w:ascii="Times New Roman" w:hAnsi="Times New Roman" w:eastAsia="仿宋_GB2312"/>
                <w:color w:val="FF0000"/>
                <w:szCs w:val="21"/>
              </w:rPr>
              <w:t>第八条</w:t>
            </w:r>
            <w:r>
              <w:rPr>
                <w:rFonts w:hint="eastAsia" w:ascii="Times New Roman" w:hAnsi="Times New Roman" w:eastAsia="仿宋_GB2312"/>
                <w:color w:val="FF0000"/>
                <w:szCs w:val="21"/>
                <w:lang w:eastAsia="zh-CN"/>
              </w:rPr>
              <w:t>第（七）项</w:t>
            </w:r>
            <w:r>
              <w:rPr>
                <w:rFonts w:hint="eastAsia" w:ascii="Times New Roman" w:hAnsi="Times New Roman" w:eastAsia="仿宋_GB2312"/>
                <w:color w:val="FF0000"/>
                <w:szCs w:val="21"/>
                <w:lang w:val="en-US" w:eastAsia="zh-CN"/>
              </w:rPr>
              <w:t xml:space="preserve"> </w:t>
            </w:r>
            <w:r>
              <w:rPr>
                <w:rFonts w:hint="eastAsia" w:ascii="Times New Roman" w:hAnsi="Times New Roman" w:eastAsia="仿宋_GB2312"/>
                <w:color w:val="FF0000"/>
                <w:szCs w:val="21"/>
              </w:rPr>
              <w:t>公共场所卫生管理档案应当主要包括下列内容：</w:t>
            </w:r>
            <w:r>
              <w:rPr>
                <w:rFonts w:hint="eastAsia" w:ascii="Times New Roman" w:hAnsi="Times New Roman" w:eastAsia="仿宋_GB2312"/>
                <w:color w:val="auto"/>
                <w:szCs w:val="21"/>
                <w:lang w:eastAsia="zh-CN"/>
              </w:rPr>
              <w:t>（七）</w:t>
            </w:r>
            <w:r>
              <w:rPr>
                <w:rFonts w:hint="eastAsia" w:ascii="Times New Roman" w:hAnsi="Times New Roman" w:eastAsia="仿宋_GB2312"/>
                <w:color w:val="000000"/>
                <w:szCs w:val="21"/>
              </w:rPr>
              <w:t>公共卫生用品进货索证管理情况；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sz w:val="21"/>
                <w:szCs w:val="21"/>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r>
              <w:rPr>
                <w:rFonts w:hint="eastAsia" w:ascii="Times New Roman" w:hAnsi="Times New Roman" w:eastAsia="仿宋_GB2312"/>
                <w:color w:val="000000"/>
                <w:szCs w:val="21"/>
              </w:rPr>
              <w:br w:type="textWrapping"/>
            </w:r>
            <w:r>
              <w:rPr>
                <w:rFonts w:hint="eastAsia" w:ascii="Times New Roman" w:hAnsi="Times New Roman" w:eastAsia="仿宋_GB2312"/>
                <w:color w:val="000000"/>
                <w:szCs w:val="21"/>
              </w:rPr>
              <w:t>　　</w:t>
            </w:r>
            <w:r>
              <w:rPr>
                <w:rFonts w:hint="eastAsia" w:ascii="Times New Roman" w:hAnsi="Times New Roman" w:eastAsia="仿宋_GB2312"/>
                <w:color w:val="000000"/>
                <w:sz w:val="21"/>
                <w:szCs w:val="21"/>
                <w:lang w:eastAsia="zh-CN"/>
              </w:rPr>
              <w:t>依据条款：</w:t>
            </w:r>
            <w:r>
              <w:rPr>
                <w:rFonts w:ascii="Times New Roman" w:hAnsi="Times New Roman" w:eastAsia="仿宋_GB2312"/>
                <w:color w:val="000000"/>
                <w:kern w:val="0"/>
                <w:sz w:val="21"/>
                <w:szCs w:val="21"/>
              </w:rPr>
              <w:t>《</w:t>
            </w:r>
            <w:r>
              <w:rPr>
                <w:rFonts w:ascii="Times New Roman" w:hAnsi="Times New Roman" w:eastAsia="仿宋_GB2312"/>
                <w:color w:val="000000"/>
                <w:sz w:val="21"/>
                <w:szCs w:val="21"/>
              </w:rPr>
              <w:t>细则》第三十七条</w:t>
            </w:r>
            <w:r>
              <w:rPr>
                <w:rFonts w:hint="eastAsia" w:ascii="Times New Roman" w:hAnsi="Times New Roman" w:eastAsia="仿宋_GB2312"/>
                <w:color w:val="000000"/>
                <w:sz w:val="21"/>
                <w:szCs w:val="21"/>
                <w:lang w:eastAsia="zh-CN"/>
              </w:rPr>
              <w:t>第（五）项</w:t>
            </w:r>
            <w:r>
              <w:rPr>
                <w:rFonts w:ascii="Times New Roman" w:hAnsi="Times New Roman" w:eastAsia="仿宋_GB2312"/>
                <w:color w:val="000000"/>
                <w:sz w:val="21"/>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五）未按照规定索取公共卫生用品检验合格证明和其他相关资料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szCs w:val="21"/>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000000"/>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000000"/>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000000"/>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000000"/>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000000"/>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拒绝监督，但经教育能改正的。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w:t>
            </w:r>
            <w:r>
              <w:rPr>
                <w:rFonts w:ascii="Times New Roman" w:hAnsi="Times New Roman" w:eastAsia="仿宋_GB2312"/>
                <w:color w:val="000000"/>
                <w:kern w:val="0"/>
                <w:szCs w:val="21"/>
              </w:rPr>
              <w:t>，以及其它严重危害后果的</w:t>
            </w:r>
            <w:r>
              <w:rPr>
                <w:rFonts w:hint="eastAsia" w:ascii="Times New Roman" w:hAnsi="Times New Roman" w:eastAsia="仿宋_GB2312"/>
                <w:color w:val="000000"/>
                <w:kern w:val="0"/>
                <w:szCs w:val="21"/>
                <w:lang w:eastAsia="zh-CN"/>
              </w:rPr>
              <w:t>等</w:t>
            </w:r>
            <w:r>
              <w:rPr>
                <w:rFonts w:ascii="Times New Roman" w:hAnsi="Times New Roman" w:eastAsia="仿宋_GB2312"/>
                <w:color w:val="00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12</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公共场所集中空调通风系统未经卫生检测或者评价不合格而投入使用的。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违反条款：</w:t>
            </w:r>
          </w:p>
          <w:p>
            <w:pPr>
              <w:snapToGrid w:val="0"/>
              <w:ind w:firstLine="420" w:firstLineChars="200"/>
              <w:rPr>
                <w:rFonts w:hint="eastAsia" w:ascii="Times New Roman" w:hAnsi="Times New Roman" w:eastAsia="仿宋_GB2312"/>
                <w:color w:val="000000"/>
                <w:szCs w:val="21"/>
              </w:rPr>
            </w:pPr>
            <w:r>
              <w:rPr>
                <w:rFonts w:hint="eastAsia" w:ascii="Times New Roman" w:hAnsi="Times New Roman" w:eastAsia="仿宋_GB2312"/>
                <w:color w:val="000000"/>
                <w:kern w:val="0"/>
                <w:szCs w:val="21"/>
                <w:lang w:eastAsia="zh-CN"/>
              </w:rPr>
              <w:t>《细则》</w:t>
            </w:r>
            <w:r>
              <w:rPr>
                <w:rFonts w:hint="eastAsia" w:ascii="Times New Roman" w:hAnsi="Times New Roman" w:eastAsia="仿宋_GB2312"/>
                <w:color w:val="000000"/>
                <w:szCs w:val="21"/>
              </w:rPr>
              <w:t xml:space="preserve">第十一条 </w:t>
            </w:r>
            <w:r>
              <w:rPr>
                <w:rFonts w:hint="eastAsia" w:ascii="Times New Roman" w:hAnsi="Times New Roman" w:eastAsia="仿宋_GB2312"/>
                <w:color w:val="000000"/>
                <w:szCs w:val="21"/>
                <w:lang w:eastAsia="zh-CN"/>
              </w:rPr>
              <w:t>第二款</w:t>
            </w:r>
            <w:r>
              <w:rPr>
                <w:rFonts w:hint="eastAsia" w:ascii="Times New Roman" w:hAnsi="Times New Roman" w:eastAsia="仿宋_GB2312"/>
                <w:color w:val="000000"/>
                <w:szCs w:val="21"/>
                <w:lang w:val="en-US" w:eastAsia="zh-CN"/>
              </w:rPr>
              <w:t xml:space="preserve"> </w:t>
            </w:r>
            <w:r>
              <w:rPr>
                <w:rFonts w:hint="eastAsia" w:ascii="Times New Roman" w:hAnsi="Times New Roman" w:eastAsia="仿宋_GB2312"/>
                <w:color w:val="000000"/>
                <w:szCs w:val="21"/>
              </w:rPr>
              <w:t>公共场所采用集中空调通风系统的，应当符合公共场所集中空调通风系统相关卫生规范和规定的要求。</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szCs w:val="21"/>
                <w:lang w:eastAsia="zh-CN"/>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p>
            <w:pPr>
              <w:snapToGrid w:val="0"/>
              <w:ind w:firstLine="420" w:firstLineChars="200"/>
              <w:rPr>
                <w:rFonts w:ascii="Times New Roman" w:hAnsi="Times New Roman" w:eastAsia="仿宋_GB2312"/>
                <w:color w:val="000000"/>
                <w:szCs w:val="21"/>
              </w:rPr>
            </w:pPr>
            <w:r>
              <w:rPr>
                <w:rFonts w:hint="eastAsia" w:ascii="Times New Roman" w:hAnsi="Times New Roman" w:eastAsia="仿宋_GB2312"/>
                <w:color w:val="000000"/>
                <w:kern w:val="0"/>
                <w:szCs w:val="21"/>
                <w:lang w:eastAsia="zh-CN"/>
              </w:rPr>
              <w:t>依据条款：</w:t>
            </w:r>
            <w:r>
              <w:rPr>
                <w:rFonts w:ascii="Times New Roman" w:hAnsi="Times New Roman" w:eastAsia="仿宋_GB2312"/>
                <w:color w:val="000000"/>
                <w:kern w:val="0"/>
                <w:szCs w:val="21"/>
              </w:rPr>
              <w:t>《</w:t>
            </w:r>
            <w:r>
              <w:rPr>
                <w:rFonts w:ascii="Times New Roman" w:hAnsi="Times New Roman" w:eastAsia="仿宋_GB2312"/>
                <w:color w:val="000000"/>
                <w:szCs w:val="21"/>
              </w:rPr>
              <w:t>细则》第三十七条</w:t>
            </w:r>
            <w:r>
              <w:rPr>
                <w:rFonts w:hint="eastAsia" w:ascii="Times New Roman" w:hAnsi="Times New Roman" w:eastAsia="仿宋_GB2312"/>
                <w:color w:val="000000"/>
                <w:szCs w:val="21"/>
                <w:lang w:eastAsia="zh-CN"/>
              </w:rPr>
              <w:t>第（七）项</w:t>
            </w:r>
            <w:r>
              <w:rPr>
                <w:rFonts w:ascii="Times New Roman" w:hAnsi="Times New Roman" w:eastAsia="仿宋_GB2312"/>
                <w:color w:val="000000"/>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七）公共场所集中空调通风系统未经卫生检测或者评价不合格而投入使用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ascii="Times New Roman" w:hAnsi="Times New Roman" w:eastAsia="仿宋_GB2312"/>
                <w:color w:val="000000"/>
                <w:szCs w:val="21"/>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给予警告，并处以五千元至一万元以下罚款。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拒绝监督，但经教育能改正的。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w:t>
            </w:r>
            <w:r>
              <w:rPr>
                <w:rFonts w:hint="eastAsia" w:ascii="Times New Roman" w:hAnsi="Times New Roman" w:eastAsia="仿宋_GB2312"/>
                <w:color w:val="auto"/>
                <w:kern w:val="0"/>
                <w:szCs w:val="21"/>
                <w:lang w:eastAsia="zh-CN"/>
              </w:rPr>
              <w:t>等</w:t>
            </w:r>
            <w:r>
              <w:rPr>
                <w:rFonts w:ascii="Times New Roman" w:hAnsi="Times New Roman" w:eastAsia="仿宋_GB2312"/>
                <w:color w:val="auto"/>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13</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未按照规定公示公共场所卫生许可证、卫生检测结果和卫生信誉度等级的。</w:t>
            </w:r>
          </w:p>
        </w:tc>
        <w:tc>
          <w:tcPr>
            <w:tcW w:w="3797" w:type="dxa"/>
            <w:vMerge w:val="restart"/>
            <w:vAlign w:val="center"/>
          </w:tcPr>
          <w:p>
            <w:pPr>
              <w:snapToGrid w:val="0"/>
              <w:ind w:firstLine="420" w:firstLineChars="200"/>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snapToGrid w:val="0"/>
              <w:ind w:firstLine="420" w:firstLineChars="200"/>
              <w:rPr>
                <w:rFonts w:hint="eastAsia" w:ascii="Times New Roman" w:hAnsi="Times New Roman" w:eastAsia="仿宋_GB2312"/>
                <w:color w:val="000000"/>
                <w:szCs w:val="21"/>
              </w:rPr>
            </w:pPr>
            <w:r>
              <w:rPr>
                <w:rFonts w:hint="eastAsia" w:ascii="Times New Roman" w:hAnsi="Times New Roman" w:eastAsia="仿宋_GB2312"/>
                <w:color w:val="000000"/>
                <w:szCs w:val="21"/>
                <w:lang w:eastAsia="zh-CN"/>
              </w:rPr>
              <w:t>《细则》第二十五条第三款：</w:t>
            </w:r>
            <w:r>
              <w:rPr>
                <w:rFonts w:hint="eastAsia" w:ascii="Times New Roman" w:hAnsi="Times New Roman" w:eastAsia="仿宋_GB2312"/>
                <w:color w:val="000000"/>
                <w:szCs w:val="21"/>
              </w:rPr>
              <w:t>公共场所卫生许可证应当在经营场所醒目位置公示。</w:t>
            </w:r>
            <w:r>
              <w:rPr>
                <w:rFonts w:hint="eastAsia" w:ascii="Times New Roman" w:hAnsi="Times New Roman" w:eastAsia="仿宋_GB2312"/>
                <w:color w:val="000000"/>
                <w:szCs w:val="21"/>
                <w:lang w:eastAsia="zh-CN"/>
              </w:rPr>
              <w:t>第十九条第三款：</w:t>
            </w:r>
            <w:r>
              <w:rPr>
                <w:rFonts w:hint="eastAsia" w:ascii="Times New Roman" w:hAnsi="Times New Roman" w:eastAsia="仿宋_GB2312"/>
                <w:color w:val="000000"/>
                <w:szCs w:val="21"/>
              </w:rPr>
              <w:t>公共场所经营者应当在醒目位置如实公示检测结果，并对其卫生检测的真实性负责，依法依规承担相应后果。</w:t>
            </w:r>
            <w:r>
              <w:rPr>
                <w:rFonts w:hint="eastAsia" w:ascii="Times New Roman" w:hAnsi="Times New Roman" w:eastAsia="仿宋_GB2312"/>
                <w:color w:val="000000"/>
                <w:szCs w:val="21"/>
                <w:lang w:eastAsia="zh-CN"/>
              </w:rPr>
              <w:t>第三十条第二款：</w:t>
            </w:r>
            <w:r>
              <w:rPr>
                <w:rFonts w:hint="eastAsia" w:ascii="Times New Roman" w:hAnsi="Times New Roman" w:eastAsia="仿宋_GB2312"/>
                <w:color w:val="000000"/>
                <w:szCs w:val="21"/>
              </w:rPr>
              <w:t>公共场所卫生信誉度等级应当在公共场所醒目位置公示。</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sz w:val="21"/>
                <w:szCs w:val="21"/>
                <w:lang w:eastAsia="zh-CN"/>
              </w:rPr>
            </w:pP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《条例》</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第十三条</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第一款</w:t>
            </w:r>
            <w:r>
              <w:rPr>
                <w:rFonts w:hint="eastAsia" w:ascii="Times New Roman" w:hAnsi="Times New Roman" w:eastAsia="仿宋_GB2312"/>
                <w:color w:val="000000"/>
                <w:kern w:val="0"/>
                <w:sz w:val="21"/>
                <w:szCs w:val="21"/>
                <w14:textFill>
                  <w14:gradFill>
                    <w14:gsLst>
                      <w14:gs w14:pos="0">
                        <w14:srgbClr w14:val="007BD3"/>
                      </w14:gs>
                      <w14:gs w14:pos="100000">
                        <w14:srgbClr w14:val="034373"/>
                      </w14:gs>
                    </w14:gsLst>
                    <w14:lin w14:scaled="0"/>
                  </w14:gradFill>
                </w14:textFill>
              </w:rPr>
              <w:t>　卫生监督员有权对公共场所进行现场检查，索取有关资料，经营单位不得拒绝或隐瞒。卫生监督员对所提供的技术资料有保密的责任。</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r>
              <w:rPr>
                <w:rFonts w:hint="eastAsia" w:ascii="Times New Roman" w:hAnsi="Times New Roman" w:eastAsia="仿宋_GB2312"/>
                <w:color w:val="000000"/>
                <w:szCs w:val="21"/>
              </w:rPr>
              <w:br w:type="textWrapping"/>
            </w:r>
            <w:r>
              <w:rPr>
                <w:rFonts w:hint="eastAsia" w:ascii="Times New Roman" w:hAnsi="Times New Roman" w:eastAsia="仿宋_GB2312"/>
                <w:color w:val="000000"/>
                <w:szCs w:val="21"/>
                <w:lang w:val="en-US" w:eastAsia="zh-CN"/>
              </w:rPr>
              <w:t xml:space="preserve">  </w:t>
            </w:r>
            <w:r>
              <w:rPr>
                <w:rFonts w:hint="eastAsia" w:ascii="Times New Roman" w:hAnsi="Times New Roman" w:eastAsia="仿宋_GB2312"/>
                <w:color w:val="000000"/>
                <w:sz w:val="21"/>
                <w:szCs w:val="21"/>
                <w:lang w:eastAsia="zh-CN"/>
              </w:rPr>
              <w:t>依据条款：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szCs w:val="21"/>
                <w:lang w:eastAsia="zh-CN"/>
              </w:rPr>
            </w:pPr>
            <w:r>
              <w:rPr>
                <w:rFonts w:ascii="Times New Roman" w:hAnsi="Times New Roman" w:eastAsia="仿宋_GB2312"/>
                <w:color w:val="000000"/>
                <w:kern w:val="0"/>
                <w:sz w:val="21"/>
                <w:szCs w:val="21"/>
              </w:rPr>
              <w:t>《</w:t>
            </w:r>
            <w:r>
              <w:rPr>
                <w:rFonts w:ascii="Times New Roman" w:hAnsi="Times New Roman" w:eastAsia="仿宋_GB2312"/>
                <w:color w:val="000000"/>
                <w:sz w:val="21"/>
                <w:szCs w:val="21"/>
              </w:rPr>
              <w:t>细则》第三十七条</w:t>
            </w:r>
            <w:r>
              <w:rPr>
                <w:rFonts w:hint="eastAsia" w:ascii="Times New Roman" w:hAnsi="Times New Roman" w:eastAsia="仿宋_GB2312"/>
                <w:color w:val="000000"/>
                <w:sz w:val="21"/>
                <w:szCs w:val="21"/>
                <w:lang w:eastAsia="zh-CN"/>
              </w:rPr>
              <w:t>第（八）项</w:t>
            </w:r>
            <w:r>
              <w:rPr>
                <w:rFonts w:ascii="Times New Roman" w:hAnsi="Times New Roman" w:eastAsia="仿宋_GB2312"/>
                <w:color w:val="000000"/>
                <w:sz w:val="21"/>
                <w:szCs w:val="21"/>
              </w:rPr>
              <w:t>: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w:t>
            </w:r>
            <w:r>
              <w:rPr>
                <w:rFonts w:hint="eastAsia" w:ascii="Times New Roman" w:hAnsi="Times New Roman" w:eastAsia="仿宋_GB2312"/>
                <w:color w:val="000000"/>
                <w:sz w:val="21"/>
                <w:szCs w:val="21"/>
              </w:rPr>
              <w:t>（八）未按照规定公示公共场所卫生许可证、卫生检测结果和卫生信誉度等级的</w:t>
            </w:r>
            <w:r>
              <w:rPr>
                <w:rFonts w:hint="eastAsia" w:ascii="Times New Roman" w:hAnsi="Times New Roman" w:eastAsia="仿宋_GB2312"/>
                <w:color w:val="000000"/>
                <w:sz w:val="21"/>
                <w:szCs w:val="21"/>
                <w:lang w:eastAsia="zh-CN"/>
              </w:rPr>
              <w:t>；</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szCs w:val="21"/>
                <w:lang w:eastAsia="zh-CN"/>
              </w:rPr>
            </w:pPr>
            <w:r>
              <w:rPr>
                <w:rFonts w:hint="eastAsia" w:ascii="Times New Roman" w:hAnsi="Times New Roman" w:eastAsia="仿宋_GB2312"/>
                <w:color w:val="000000"/>
                <w:kern w:val="0"/>
                <w:sz w:val="21"/>
                <w:szCs w:val="21"/>
                <w:lang w:val="en-US" w:eastAsia="zh-CN"/>
                <w14:textFill>
                  <w14:gradFill>
                    <w14:gsLst>
                      <w14:gs w14:pos="0">
                        <w14:srgbClr w14:val="007BD3"/>
                      </w14:gs>
                      <w14:gs w14:pos="100000">
                        <w14:srgbClr w14:val="034373"/>
                      </w14:gs>
                    </w14:gsLst>
                    <w14:lin w14:scaled="0"/>
                  </w14:gradFill>
                </w14:textFill>
              </w:rPr>
              <w:t>《条例》第十四条第一款第（三）项 凡有下列行为之一的单位或者个人，卫生防疫机构可以根据情节轻重，给予警告、罚款、停业整顿、吊销“卫生许可证”的行政处罚：（三）拒绝卫生监督的；</w:t>
            </w:r>
            <w:r>
              <w:rPr>
                <w:rFonts w:hint="eastAsia" w:ascii="Times New Roman" w:hAnsi="Times New Roman" w:eastAsia="仿宋_GB2312"/>
                <w:color w:val="000000"/>
                <w:kern w:val="0"/>
                <w:sz w:val="21"/>
                <w:szCs w:val="21"/>
                <w:lang w:eastAsia="zh-CN"/>
                <w14:textFill>
                  <w14:gradFill>
                    <w14:gsLst>
                      <w14:gs w14:pos="0">
                        <w14:srgbClr w14:val="007BD3"/>
                      </w14:gs>
                      <w14:gs w14:pos="100000">
                        <w14:srgbClr w14:val="034373"/>
                      </w14:gs>
                    </w14:gsLst>
                    <w14:lin w14:scaled="0"/>
                  </w14:gradFill>
                </w14:textFill>
              </w:rPr>
              <w:t>（有拒绝监督行为时）</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kern w:val="0"/>
                <w:szCs w:val="21"/>
              </w:rPr>
              <w:t>逾期未按要求</w:t>
            </w:r>
            <w:r>
              <w:rPr>
                <w:rFonts w:ascii="Times New Roman" w:hAnsi="Times New Roman" w:eastAsia="仿宋_GB2312"/>
                <w:color w:val="FF0000"/>
                <w:kern w:val="0"/>
                <w:szCs w:val="21"/>
              </w:rPr>
              <w:t>完</w:t>
            </w:r>
            <w:r>
              <w:rPr>
                <w:rFonts w:hint="eastAsia" w:ascii="Times New Roman" w:hAnsi="Times New Roman" w:eastAsia="仿宋_GB2312"/>
                <w:color w:val="FF0000"/>
                <w:kern w:val="0"/>
                <w:szCs w:val="21"/>
                <w:lang w:eastAsia="zh-CN"/>
              </w:rPr>
              <w:t>全</w:t>
            </w:r>
            <w:r>
              <w:rPr>
                <w:rFonts w:ascii="Times New Roman" w:hAnsi="Times New Roman" w:eastAsia="仿宋_GB2312"/>
                <w:color w:val="auto"/>
                <w:kern w:val="0"/>
                <w:szCs w:val="21"/>
              </w:rPr>
              <w:t>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给予警告，并处以一千元以上五千元以下罚款。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auto"/>
                <w:kern w:val="0"/>
                <w:szCs w:val="21"/>
              </w:rPr>
            </w:pPr>
            <w:r>
              <w:rPr>
                <w:rFonts w:hint="eastAsia" w:ascii="Times New Roman" w:hAnsi="Times New Roman" w:eastAsia="仿宋_GB2312"/>
                <w:color w:val="auto"/>
                <w:kern w:val="0"/>
                <w:szCs w:val="21"/>
                <w:lang w:eastAsia="zh-CN"/>
              </w:rPr>
              <w:t>经责令限期改正，</w:t>
            </w:r>
            <w:r>
              <w:rPr>
                <w:rFonts w:ascii="Times New Roman" w:hAnsi="Times New Roman" w:eastAsia="仿宋_GB2312"/>
                <w:color w:val="auto"/>
                <w:szCs w:val="21"/>
              </w:rPr>
              <w:t>逾期拒不改正的。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给予警告，并处以五千元以上一万元以下罚款。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拒绝监督，但经教育能改正的。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处以一万元以上二万元以下罚款。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Merge w:val="continue"/>
            <w:vAlign w:val="center"/>
          </w:tcPr>
          <w:p>
            <w:pPr>
              <w:snapToGrid w:val="0"/>
              <w:rPr>
                <w:rFonts w:ascii="Times New Roman" w:hAnsi="Times New Roman" w:eastAsia="仿宋_GB2312"/>
                <w:color w:val="000000"/>
                <w:kern w:val="0"/>
                <w:szCs w:val="21"/>
              </w:rPr>
            </w:pP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szCs w:val="21"/>
              </w:rPr>
              <w:t>拒绝监督，经教育无效的。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处以二万元以上三万元以下罚款。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责令停业整顿、吊销卫生许可证。</w:t>
            </w:r>
          </w:p>
        </w:tc>
        <w:tc>
          <w:tcPr>
            <w:tcW w:w="3327" w:type="dxa"/>
            <w:vAlign w:val="center"/>
          </w:tcPr>
          <w:p>
            <w:pPr>
              <w:snapToGrid w:val="0"/>
              <w:rPr>
                <w:rFonts w:ascii="Times New Roman" w:hAnsi="Times New Roman" w:eastAsia="仿宋_GB2312"/>
                <w:color w:val="auto"/>
                <w:kern w:val="0"/>
                <w:szCs w:val="21"/>
              </w:rPr>
            </w:pPr>
            <w:r>
              <w:rPr>
                <w:rFonts w:ascii="Times New Roman" w:hAnsi="Times New Roman" w:eastAsia="仿宋_GB2312"/>
                <w:color w:val="auto"/>
                <w:kern w:val="0"/>
                <w:szCs w:val="21"/>
              </w:rPr>
              <w:t>情节严重的（指拒不改正的、弄虚作假的、抗拒执法的、社会影响恶劣的、可能或者已经造成</w:t>
            </w:r>
            <w:r>
              <w:rPr>
                <w:rFonts w:hint="eastAsia" w:ascii="Times New Roman" w:hAnsi="Times New Roman" w:eastAsia="仿宋_GB2312"/>
                <w:color w:val="auto"/>
                <w:kern w:val="0"/>
                <w:szCs w:val="21"/>
                <w:lang w:eastAsia="zh-CN"/>
              </w:rPr>
              <w:t>危害健康事故或</w:t>
            </w:r>
            <w:r>
              <w:rPr>
                <w:rFonts w:ascii="Times New Roman" w:hAnsi="Times New Roman" w:eastAsia="仿宋_GB2312"/>
                <w:color w:val="auto"/>
                <w:kern w:val="0"/>
                <w:szCs w:val="21"/>
              </w:rPr>
              <w:t>突发公共卫生事件，以及其它严重危害后果的</w:t>
            </w:r>
            <w:r>
              <w:rPr>
                <w:rFonts w:hint="eastAsia" w:ascii="Times New Roman" w:hAnsi="Times New Roman" w:eastAsia="仿宋_GB2312"/>
                <w:color w:val="auto"/>
                <w:kern w:val="0"/>
                <w:szCs w:val="21"/>
                <w:lang w:eastAsia="zh-CN"/>
              </w:rPr>
              <w:t>等</w:t>
            </w:r>
            <w:r>
              <w:rPr>
                <w:rFonts w:ascii="Times New Roman" w:hAnsi="Times New Roman" w:eastAsia="仿宋_GB2312"/>
                <w:color w:val="auto"/>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14</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公共场所经营者安排未获得有效健康合格证明的从业人员从事直接为顾客服务工作的。</w:t>
            </w:r>
          </w:p>
        </w:tc>
        <w:tc>
          <w:tcPr>
            <w:tcW w:w="3797" w:type="dxa"/>
            <w:vMerge w:val="restart"/>
            <w:vAlign w:val="center"/>
          </w:tcPr>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olor w:val="000000"/>
                <w:kern w:val="0"/>
                <w:sz w:val="21"/>
                <w:szCs w:val="21"/>
                <w:lang w:eastAsia="zh-CN"/>
              </w:rPr>
            </w:pPr>
            <w:r>
              <w:rPr>
                <w:rFonts w:hint="eastAsia" w:ascii="Times New Roman" w:hAnsi="Times New Roman" w:eastAsia="仿宋_GB2312"/>
                <w:color w:val="000000"/>
                <w:kern w:val="0"/>
                <w:sz w:val="21"/>
                <w:szCs w:val="21"/>
                <w:lang w:eastAsia="zh-CN"/>
              </w:rPr>
              <w:t>违法条款：</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8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olor w:val="000000"/>
                <w:kern w:val="0"/>
                <w:szCs w:val="21"/>
                <w:lang w:eastAsia="zh-CN"/>
              </w:rPr>
              <w:t>《</w:t>
            </w:r>
            <w:r>
              <w:rPr>
                <w:rFonts w:hint="eastAsia" w:ascii="Times New Roman" w:hAnsi="Times New Roman" w:eastAsia="仿宋_GB2312" w:cs="Times New Roman"/>
                <w:color w:val="000000"/>
                <w:kern w:val="2"/>
                <w:sz w:val="21"/>
                <w:szCs w:val="21"/>
                <w:lang w:val="en-US" w:eastAsia="zh-CN" w:bidi="ar-SA"/>
              </w:rPr>
              <w:t>条例</w:t>
            </w:r>
            <w:r>
              <w:rPr>
                <w:rFonts w:hint="eastAsia" w:ascii="Times New Roman" w:hAnsi="Times New Roman" w:eastAsia="仿宋_GB2312"/>
                <w:color w:val="000000"/>
                <w:kern w:val="0"/>
                <w:szCs w:val="21"/>
                <w:lang w:eastAsia="zh-CN"/>
              </w:rPr>
              <w:t>》</w:t>
            </w:r>
            <w:r>
              <w:rPr>
                <w:rFonts w:hint="eastAsia" w:ascii="Times New Roman" w:hAnsi="Times New Roman" w:eastAsia="仿宋_GB2312" w:cs="Times New Roman"/>
                <w:color w:val="000000"/>
                <w:kern w:val="2"/>
                <w:sz w:val="21"/>
                <w:szCs w:val="21"/>
                <w:lang w:val="en-US" w:eastAsia="zh-CN" w:bidi="ar-SA"/>
              </w:rPr>
              <w:t>第七条  公共场所直接为顾客服务的人员，持有“健康合格证”方能从事本职工作。患有痢疾、伤寒、病毒性肝炎、活动期肺结核、化脓性或者渗出性皮肤病以及其他有碍公共卫生的疾病的，治愈前不得从事直接为顾客服务的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jc w:val="both"/>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《细则》第十条第一款 公共场所经营者应当组织从业人员每年进行健康检查，从业人员在取得有效健康合格证明后方可上岗。</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依据条款：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《条例》第十四条第一款第（二）项 凡有下列行为之一的单位或者个人，卫生防疫机构可以根据情节轻重，给予警告、罚款、停业整顿、吊销“卫生许可证”的行政处罚：（二）未获得“健康合格证”，而从事直接为顾客服务的。</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ascii="Times New Roman" w:hAnsi="Times New Roman" w:eastAsia="仿宋_GB2312"/>
                <w:color w:val="000000"/>
                <w:kern w:val="0"/>
                <w:szCs w:val="21"/>
              </w:rPr>
            </w:pPr>
            <w:r>
              <w:rPr>
                <w:rFonts w:ascii="Times New Roman" w:hAnsi="Times New Roman" w:eastAsia="仿宋_GB2312"/>
                <w:color w:val="000000"/>
                <w:kern w:val="0"/>
                <w:sz w:val="21"/>
                <w:szCs w:val="21"/>
              </w:rPr>
              <w:t>《</w:t>
            </w:r>
            <w:r>
              <w:rPr>
                <w:rFonts w:ascii="Times New Roman" w:hAnsi="Times New Roman" w:eastAsia="仿宋_GB2312"/>
                <w:color w:val="000000"/>
                <w:sz w:val="21"/>
                <w:szCs w:val="21"/>
              </w:rPr>
              <w:t>细则》第三十八条:公共场所经营者安排未获得有效健康合格证明的从业人员从事直接为顾客服务工作的，由县级以上地方人民政府卫生计生行政部门责令限期改正，给予警告，并处以五百元以上五千元以下罚款；逾期不改正的，处以五千元以上一万五千元以下罚款。</w:t>
            </w: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s="Times New Roman"/>
                <w:color w:val="FF0000"/>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FF0000"/>
                <w:kern w:val="0"/>
                <w:szCs w:val="21"/>
                <w:lang w:val="en-US" w:eastAsia="zh-CN"/>
                <w14:textFill>
                  <w14:gradFill>
                    <w14:gsLst>
                      <w14:gs w14:pos="0">
                        <w14:srgbClr w14:val="012D86"/>
                      </w14:gs>
                      <w14:gs w14:pos="100000">
                        <w14:srgbClr w14:val="0E2557"/>
                      </w14:gs>
                    </w14:gsLst>
                    <w14:lin w14:scaled="0"/>
                  </w14:gradFill>
                </w14:textFill>
              </w:rPr>
              <w:t>不予行政处罚</w:t>
            </w:r>
          </w:p>
        </w:tc>
        <w:tc>
          <w:tcPr>
            <w:tcW w:w="3327" w:type="dxa"/>
            <w:vAlign w:val="center"/>
          </w:tcPr>
          <w:p>
            <w:pPr>
              <w:snapToGrid w:val="0"/>
              <w:rPr>
                <w:rFonts w:ascii="Times New Roman" w:hAnsi="Times New Roman" w:eastAsia="仿宋_GB2312" w:cs="Times New Roman"/>
                <w:color w:val="FF0000"/>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FF0000"/>
                <w:kern w:val="0"/>
                <w:szCs w:val="21"/>
                <w:lang w:eastAsia="zh-CN"/>
                <w14:textFill>
                  <w14:gradFill>
                    <w14:gsLst>
                      <w14:gs w14:pos="0">
                        <w14:srgbClr w14:val="012D86"/>
                      </w14:gs>
                      <w14:gs w14:pos="100000">
                        <w14:srgbClr w14:val="0E2557"/>
                      </w14:gs>
                    </w14:gsLst>
                    <w14:lin w14:scaled="0"/>
                  </w14:gradFill>
                </w14:textFill>
              </w:rPr>
              <w:t>安排未获得有效健康合格证明的从业人员从事直接为顾客服务工作在</w:t>
            </w:r>
            <w:r>
              <w:rPr>
                <w:rFonts w:hint="eastAsia" w:ascii="Times New Roman" w:hAnsi="Times New Roman" w:eastAsia="仿宋_GB2312"/>
                <w:color w:val="FF0000"/>
                <w:kern w:val="0"/>
                <w:szCs w:val="21"/>
                <w:lang w:val="en-US" w:eastAsia="zh-CN"/>
                <w14:textFill>
                  <w14:gradFill>
                    <w14:gsLst>
                      <w14:gs w14:pos="0">
                        <w14:srgbClr w14:val="012D86"/>
                      </w14:gs>
                      <w14:gs w14:pos="100000">
                        <w14:srgbClr w14:val="0E2557"/>
                      </w14:gs>
                    </w14:gsLst>
                    <w14:lin w14:scaled="0"/>
                  </w14:gradFill>
                </w14:textFill>
              </w:rPr>
              <w:t>7日内或2人内，属</w:t>
            </w:r>
            <w:r>
              <w:rPr>
                <w:rFonts w:hint="eastAsia" w:ascii="Times New Roman" w:hAnsi="Times New Roman" w:eastAsia="仿宋_GB2312"/>
                <w:color w:val="FF0000"/>
                <w:kern w:val="0"/>
                <w:szCs w:val="21"/>
                <w:lang w:eastAsia="zh-CN"/>
                <w14:textFill>
                  <w14:gradFill>
                    <w14:gsLst>
                      <w14:gs w14:pos="0">
                        <w14:srgbClr w14:val="012D86"/>
                      </w14:gs>
                      <w14:gs w14:pos="100000">
                        <w14:srgbClr w14:val="0E2557"/>
                      </w14:gs>
                    </w14:gsLst>
                    <w14:lin w14:scaled="0"/>
                  </w14:gradFill>
                </w14:textFill>
              </w:rPr>
              <w:t>初次违法且危害后果轻微并及时改正的</w:t>
            </w:r>
            <w:r>
              <w:rPr>
                <w:rFonts w:ascii="Times New Roman" w:hAnsi="Times New Roman" w:eastAsia="仿宋_GB2312"/>
                <w:color w:val="FF0000"/>
                <w:kern w:val="0"/>
                <w:szCs w:val="21"/>
                <w14:textFill>
                  <w14:gradFill>
                    <w14:gsLst>
                      <w14:gs w14:pos="0">
                        <w14:srgbClr w14:val="012D86"/>
                      </w14:gs>
                      <w14:gs w14:pos="100000">
                        <w14:srgbClr w14:val="0E2557"/>
                      </w14:gs>
                    </w14:gsLst>
                    <w14:lin w14:scaled="0"/>
                  </w14:gradFill>
                </w14:textFill>
              </w:rPr>
              <w:t>。</w:t>
            </w:r>
          </w:p>
        </w:tc>
        <w:tc>
          <w:tcPr>
            <w:tcW w:w="2688" w:type="dxa"/>
            <w:vAlign w:val="center"/>
          </w:tcPr>
          <w:p>
            <w:pPr>
              <w:snapToGrid w:val="0"/>
              <w:rPr>
                <w:rFonts w:hint="eastAsia" w:ascii="Times New Roman" w:hAnsi="Times New Roman" w:eastAsia="仿宋_GB2312" w:cs="Times New Roman"/>
                <w:color w:val="FF0000"/>
                <w:kern w:val="0"/>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olor w:val="FF0000"/>
                <w:kern w:val="0"/>
                <w:szCs w:val="21"/>
                <w:lang w:eastAsia="zh-CN"/>
                <w14:textFill>
                  <w14:gradFill>
                    <w14:gsLst>
                      <w14:gs w14:pos="0">
                        <w14:srgbClr w14:val="012D86"/>
                      </w14:gs>
                      <w14:gs w14:pos="100000">
                        <w14:srgbClr w14:val="0E2557"/>
                      </w14:gs>
                    </w14:gsLst>
                    <w14:lin w14:scaled="0"/>
                  </w14:gradFill>
                </w14:textFill>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FF0000"/>
                <w:kern w:val="0"/>
                <w:szCs w:val="21"/>
                <w:lang w:eastAsia="zh-CN"/>
              </w:rPr>
              <w:t>安排未获得有效健康合格证明的从业人员从事直接为顾客服务工作在</w:t>
            </w:r>
            <w:r>
              <w:rPr>
                <w:rFonts w:hint="eastAsia" w:ascii="Times New Roman" w:hAnsi="Times New Roman" w:eastAsia="仿宋_GB2312"/>
                <w:color w:val="FF0000"/>
                <w:kern w:val="0"/>
                <w:szCs w:val="21"/>
                <w:lang w:val="en-US" w:eastAsia="zh-CN"/>
              </w:rPr>
              <w:t>7日以上且人数为3-5人</w:t>
            </w:r>
            <w:r>
              <w:rPr>
                <w:rFonts w:hint="eastAsia" w:ascii="Times New Roman" w:hAnsi="Times New Roman" w:eastAsia="仿宋_GB2312"/>
                <w:color w:val="FF0000"/>
                <w:kern w:val="0"/>
                <w:szCs w:val="21"/>
                <w:lang w:eastAsia="zh-CN"/>
              </w:rPr>
              <w:t>，</w:t>
            </w:r>
            <w:r>
              <w:rPr>
                <w:rFonts w:ascii="Times New Roman" w:hAnsi="Times New Roman" w:eastAsia="仿宋_GB2312"/>
                <w:color w:val="FF0000"/>
                <w:kern w:val="0"/>
                <w:szCs w:val="21"/>
              </w:rPr>
              <w:t>主动配合查处，能</w:t>
            </w:r>
            <w:r>
              <w:rPr>
                <w:rFonts w:hint="eastAsia" w:ascii="Times New Roman" w:hAnsi="Times New Roman" w:eastAsia="仿宋_GB2312"/>
                <w:color w:val="FF0000"/>
                <w:kern w:val="0"/>
                <w:szCs w:val="21"/>
                <w:lang w:eastAsia="zh-CN"/>
              </w:rPr>
              <w:t>积极改正</w:t>
            </w:r>
            <w:r>
              <w:rPr>
                <w:rFonts w:ascii="Times New Roman" w:hAnsi="Times New Roman" w:eastAsia="仿宋_GB2312"/>
                <w:color w:val="FF0000"/>
                <w:kern w:val="0"/>
                <w:szCs w:val="21"/>
              </w:rPr>
              <w:t>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给予警告，并处以五百元以上三千元以下罚款。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警告、罚款。</w:t>
            </w:r>
          </w:p>
        </w:tc>
        <w:tc>
          <w:tcPr>
            <w:tcW w:w="3327" w:type="dxa"/>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FF0000"/>
                <w:kern w:val="0"/>
                <w:szCs w:val="21"/>
                <w:lang w:eastAsia="zh-CN"/>
              </w:rPr>
              <w:t>安排未获得有效健康合格证明的从业人员从事直接为顾客服务工作在</w:t>
            </w:r>
            <w:r>
              <w:rPr>
                <w:rFonts w:hint="eastAsia" w:ascii="Times New Roman" w:hAnsi="Times New Roman" w:eastAsia="仿宋_GB2312"/>
                <w:color w:val="FF0000"/>
                <w:kern w:val="0"/>
                <w:szCs w:val="21"/>
                <w:lang w:val="en-US" w:eastAsia="zh-CN"/>
              </w:rPr>
              <w:t>7日以上且人数为6人以上；</w:t>
            </w:r>
            <w:r>
              <w:rPr>
                <w:rFonts w:hint="eastAsia" w:ascii="Times New Roman" w:hAnsi="Times New Roman" w:eastAsia="仿宋_GB2312"/>
                <w:color w:val="FF0000"/>
                <w:szCs w:val="21"/>
                <w:lang w:eastAsia="zh-CN"/>
              </w:rPr>
              <w:t>或</w:t>
            </w:r>
            <w:r>
              <w:rPr>
                <w:rFonts w:ascii="Times New Roman" w:hAnsi="Times New Roman" w:eastAsia="仿宋_GB2312"/>
                <w:color w:val="FF0000"/>
                <w:kern w:val="0"/>
                <w:szCs w:val="21"/>
              </w:rPr>
              <w:t>不配合查处的</w:t>
            </w:r>
            <w:r>
              <w:rPr>
                <w:rFonts w:ascii="Times New Roman" w:hAnsi="Times New Roman" w:eastAsia="仿宋_GB2312"/>
                <w:color w:val="FF000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给予警告，并处以三千元以上五千元以下罚款。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仿宋_GB2312" w:cs="Times New Roman"/>
                <w:color w:val="FF0000"/>
                <w:kern w:val="2"/>
                <w:sz w:val="21"/>
                <w:szCs w:val="21"/>
                <w:lang w:val="en-US" w:eastAsia="zh-CN" w:bidi="ar-SA"/>
              </w:rPr>
            </w:pPr>
            <w:r>
              <w:rPr>
                <w:rFonts w:hint="eastAsia" w:ascii="Times New Roman" w:hAnsi="Times New Roman" w:eastAsia="仿宋_GB2312" w:cs="Times New Roman"/>
                <w:color w:val="FF0000"/>
                <w:kern w:val="2"/>
                <w:sz w:val="21"/>
                <w:szCs w:val="21"/>
                <w:lang w:val="en-US" w:eastAsia="zh-CN" w:bidi="ar-SA"/>
              </w:rPr>
              <w:t>经责令限期改正，逾期不改正，仍有5名以下未持有效健康合格证明的从业人员从事直接为顾客服务工作的。</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处以五千元以上一万元以下罚款。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仿宋_GB2312" w:cs="Times New Roman"/>
                <w:color w:val="FF0000"/>
                <w:kern w:val="2"/>
                <w:sz w:val="21"/>
                <w:szCs w:val="21"/>
                <w:lang w:val="en-US" w:eastAsia="zh-CN" w:bidi="ar-SA"/>
              </w:rPr>
            </w:pPr>
            <w:r>
              <w:rPr>
                <w:rFonts w:hint="eastAsia" w:ascii="Times New Roman" w:hAnsi="Times New Roman" w:eastAsia="仿宋_GB2312" w:cs="Times New Roman"/>
                <w:color w:val="FF0000"/>
                <w:kern w:val="2"/>
                <w:sz w:val="21"/>
                <w:szCs w:val="21"/>
                <w:lang w:val="en-US" w:eastAsia="zh-CN" w:bidi="ar-SA"/>
              </w:rPr>
              <w:t>经责令限期改正，逾期拒不改正，仍有6名以上未持有效健康合格证明的从业人员从事直接为顾客服务工作的；或安排患有</w:t>
            </w:r>
            <w:r>
              <w:rPr>
                <w:rFonts w:hint="eastAsia" w:ascii="Times New Roman" w:hAnsi="Times New Roman" w:eastAsia="仿宋_GB2312"/>
                <w:color w:val="FF0000"/>
                <w:kern w:val="0"/>
                <w:szCs w:val="21"/>
                <w:lang w:eastAsia="zh-CN"/>
              </w:rPr>
              <w:t>《</w:t>
            </w:r>
            <w:r>
              <w:rPr>
                <w:rFonts w:hint="eastAsia" w:ascii="Times New Roman" w:hAnsi="Times New Roman" w:eastAsia="仿宋_GB2312" w:cs="Times New Roman"/>
                <w:color w:val="FF0000"/>
                <w:kern w:val="2"/>
                <w:sz w:val="21"/>
                <w:szCs w:val="21"/>
                <w:lang w:val="en-US" w:eastAsia="zh-CN" w:bidi="ar-SA"/>
              </w:rPr>
              <w:t>条例</w:t>
            </w:r>
            <w:r>
              <w:rPr>
                <w:rFonts w:hint="eastAsia" w:ascii="Times New Roman" w:hAnsi="Times New Roman" w:eastAsia="仿宋_GB2312"/>
                <w:color w:val="FF0000"/>
                <w:kern w:val="0"/>
                <w:szCs w:val="21"/>
                <w:lang w:eastAsia="zh-CN"/>
              </w:rPr>
              <w:t>》</w:t>
            </w:r>
            <w:r>
              <w:rPr>
                <w:rFonts w:hint="eastAsia" w:ascii="Times New Roman" w:hAnsi="Times New Roman" w:eastAsia="仿宋_GB2312" w:cs="Times New Roman"/>
                <w:color w:val="FF0000"/>
                <w:kern w:val="2"/>
                <w:sz w:val="21"/>
                <w:szCs w:val="21"/>
                <w:lang w:val="en-US" w:eastAsia="zh-CN" w:bidi="ar-SA"/>
              </w:rPr>
              <w:t>第七条规定疾病的人员从事直接为顾客服务工作的；或</w:t>
            </w:r>
            <w:r>
              <w:rPr>
                <w:rFonts w:ascii="Times New Roman" w:hAnsi="Times New Roman" w:eastAsia="仿宋_GB2312"/>
                <w:color w:val="FF0000"/>
                <w:kern w:val="0"/>
                <w:szCs w:val="21"/>
              </w:rPr>
              <w:t>情节严重的（指弄虚作假的、抗拒执法的、社会影响恶劣的、可能或者已经造成</w:t>
            </w:r>
            <w:r>
              <w:rPr>
                <w:rFonts w:hint="eastAsia" w:ascii="Times New Roman" w:hAnsi="Times New Roman" w:eastAsia="仿宋_GB2312"/>
                <w:color w:val="FF0000"/>
                <w:kern w:val="0"/>
                <w:szCs w:val="21"/>
                <w:lang w:eastAsia="zh-CN"/>
              </w:rPr>
              <w:t>危害健康事故或</w:t>
            </w:r>
            <w:r>
              <w:rPr>
                <w:rFonts w:ascii="Times New Roman" w:hAnsi="Times New Roman" w:eastAsia="仿宋_GB2312"/>
                <w:color w:val="FF0000"/>
                <w:kern w:val="0"/>
                <w:szCs w:val="21"/>
              </w:rPr>
              <w:t>突发公共卫生事件，以及其它严重危害后果的</w:t>
            </w:r>
            <w:r>
              <w:rPr>
                <w:rFonts w:hint="eastAsia" w:ascii="Times New Roman" w:hAnsi="Times New Roman" w:eastAsia="仿宋_GB2312"/>
                <w:color w:val="FF0000"/>
                <w:kern w:val="0"/>
                <w:szCs w:val="21"/>
                <w:lang w:eastAsia="zh-CN"/>
              </w:rPr>
              <w:t>等</w:t>
            </w:r>
            <w:r>
              <w:rPr>
                <w:rFonts w:ascii="Times New Roman" w:hAnsi="Times New Roman" w:eastAsia="仿宋_GB2312"/>
                <w:color w:val="FF0000"/>
                <w:kern w:val="0"/>
                <w:szCs w:val="21"/>
              </w:rPr>
              <w:t>）。</w:t>
            </w:r>
          </w:p>
        </w:tc>
        <w:tc>
          <w:tcPr>
            <w:tcW w:w="2688"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处以一万元以上一万五千元以下罚款。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15</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公共场所经营者对发生的危害健康事故未立即采取处置措施，导致危害扩大的。</w:t>
            </w:r>
          </w:p>
        </w:tc>
        <w:tc>
          <w:tcPr>
            <w:tcW w:w="3797" w:type="dxa"/>
            <w:vMerge w:val="restart"/>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违法条款：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《条例》第九条：　公共场所因不符合卫生标准和要求造成危害健康事故的，经营单位应妥善处理，并及时报告卫生防疫机构。</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14:textFill>
                  <w14:gradFill>
                    <w14:gsLst>
                      <w14:gs w14:pos="0">
                        <w14:srgbClr w14:val="012D86"/>
                      </w14:gs>
                      <w14:gs w14:pos="100000">
                        <w14:srgbClr w14:val="0E2557"/>
                      </w14:gs>
                    </w14:gsLst>
                    <w14:lin w14:scaled="0"/>
                  </w14:gradFill>
                </w14:textFill>
              </w:rPr>
            </w:pPr>
            <w:r>
              <w:rPr>
                <w:rFonts w:hint="eastAsia" w:ascii="Times New Roman" w:hAnsi="Times New Roman" w:eastAsia="仿宋_GB2312" w:cs="Times New Roman"/>
                <w:color w:val="000000"/>
                <w:kern w:val="2"/>
                <w:sz w:val="21"/>
                <w:szCs w:val="21"/>
                <w:lang w:val="en-US" w:eastAsia="zh-CN" w:bidi="ar-SA"/>
                <w14:textFill>
                  <w14:gradFill>
                    <w14:gsLst>
                      <w14:gs w14:pos="0">
                        <w14:srgbClr w14:val="012D86"/>
                      </w14:gs>
                      <w14:gs w14:pos="100000">
                        <w14:srgbClr w14:val="0E2557"/>
                      </w14:gs>
                    </w14:gsLst>
                    <w14:lin w14:scaled="0"/>
                  </w14:gradFill>
                </w14:textFill>
              </w:rPr>
              <w:t>《细则》第二十一条第一款：  公共场所发生危害健康事故的，经营者应当立即处置，防止危害扩大，并及时向县级人民政府卫生计生行政部门报告。</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依据条款：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ascii="Times New Roman" w:hAnsi="Times New Roman" w:eastAsia="仿宋_GB2312"/>
                <w:color w:val="000000"/>
                <w:kern w:val="0"/>
                <w:szCs w:val="21"/>
              </w:rPr>
            </w:pPr>
            <w:r>
              <w:rPr>
                <w:rFonts w:hint="eastAsia" w:ascii="Times New Roman" w:hAnsi="Times New Roman" w:eastAsia="仿宋_GB2312" w:cs="Times New Roman"/>
                <w:color w:val="000000"/>
                <w:kern w:val="2"/>
                <w:sz w:val="21"/>
                <w:szCs w:val="21"/>
                <w:lang w:val="en-US" w:eastAsia="zh-CN" w:bidi="ar-SA"/>
              </w:rPr>
              <w:t>《细则》</w:t>
            </w:r>
            <w:r>
              <w:rPr>
                <w:rFonts w:ascii="Times New Roman" w:hAnsi="Times New Roman" w:eastAsia="仿宋_GB2312" w:cs="Times New Roman"/>
                <w:color w:val="000000"/>
                <w:kern w:val="2"/>
                <w:sz w:val="21"/>
                <w:szCs w:val="21"/>
                <w:lang w:val="en-US" w:eastAsia="zh-CN" w:bidi="ar-SA"/>
              </w:rPr>
              <w:t>第三十九条:公</w:t>
            </w:r>
            <w:r>
              <w:rPr>
                <w:rFonts w:ascii="Times New Roman" w:hAnsi="Times New Roman" w:eastAsia="仿宋_GB2312"/>
                <w:color w:val="000000"/>
                <w:sz w:val="21"/>
                <w:szCs w:val="21"/>
              </w:rPr>
              <w:t>共场所经营者对发生的危害健康事故未立即采取处置措施，导致危害扩大；或者隐瞒、缓报、谎报的，由县级以上地方人民政府卫生计生行政部门处以五千元以上三万元以下罚款；情节严重的，可以依法责令停业整顿，直至吊销卫生许可证。构成犯罪的，依法追究刑事责任。</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hint="eastAsia" w:ascii="Times New Roman" w:hAnsi="Times New Roman" w:eastAsia="仿宋_GB2312"/>
                <w:color w:val="000000"/>
                <w:szCs w:val="21"/>
                <w:lang w:eastAsia="zh-CN"/>
              </w:rPr>
            </w:pPr>
            <w:r>
              <w:rPr>
                <w:rFonts w:ascii="Times New Roman" w:hAnsi="Times New Roman" w:eastAsia="仿宋_GB2312"/>
                <w:color w:val="000000"/>
                <w:szCs w:val="21"/>
              </w:rPr>
              <w:t>罚款</w:t>
            </w:r>
            <w:r>
              <w:rPr>
                <w:rFonts w:hint="eastAsia" w:ascii="Times New Roman" w:hAnsi="Times New Roman" w:eastAsia="仿宋_GB2312"/>
                <w:color w:val="000000"/>
                <w:szCs w:val="21"/>
                <w:lang w:eastAsia="zh-CN"/>
              </w:rPr>
              <w:t>。</w:t>
            </w:r>
          </w:p>
        </w:tc>
        <w:tc>
          <w:tcPr>
            <w:tcW w:w="3327" w:type="dxa"/>
            <w:vAlign w:val="center"/>
          </w:tcPr>
          <w:p>
            <w:pPr>
              <w:keepNext w:val="0"/>
              <w:keepLines w:val="0"/>
              <w:widowControl/>
              <w:suppressLineNumbers w:val="0"/>
              <w:jc w:val="left"/>
              <w:textAlignment w:val="center"/>
              <w:rPr>
                <w:rFonts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未立即采取处置措施，导致危害扩大，但没有造成人员伤亡的。</w:t>
            </w:r>
          </w:p>
        </w:tc>
        <w:tc>
          <w:tcPr>
            <w:tcW w:w="2688" w:type="dxa"/>
            <w:vAlign w:val="center"/>
          </w:tcPr>
          <w:p>
            <w:pPr>
              <w:snapToGrid w:val="0"/>
              <w:rPr>
                <w:rFonts w:ascii="Times New Roman" w:hAnsi="Times New Roman" w:eastAsia="仿宋_GB2312"/>
                <w:color w:val="FF0000"/>
                <w:sz w:val="21"/>
                <w:szCs w:val="21"/>
              </w:rPr>
            </w:pPr>
            <w:r>
              <w:rPr>
                <w:rFonts w:ascii="Times New Roman" w:hAnsi="Times New Roman" w:eastAsia="仿宋_GB2312"/>
                <w:color w:val="FF0000"/>
                <w:sz w:val="21"/>
                <w:szCs w:val="21"/>
              </w:rPr>
              <w:t>处以五千元以上一万元以下罚款。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FF0000"/>
                <w:kern w:val="0"/>
                <w:szCs w:val="21"/>
              </w:rPr>
            </w:pPr>
            <w:r>
              <w:rPr>
                <w:rFonts w:ascii="Times New Roman" w:hAnsi="Times New Roman" w:eastAsia="仿宋_GB2312"/>
                <w:color w:val="FF0000"/>
                <w:kern w:val="0"/>
                <w:szCs w:val="21"/>
              </w:rPr>
              <w:t>较重</w:t>
            </w:r>
          </w:p>
          <w:p>
            <w:pPr>
              <w:snapToGrid w:val="0"/>
              <w:rPr>
                <w:rFonts w:ascii="Times New Roman" w:hAnsi="Times New Roman" w:eastAsia="仿宋_GB2312"/>
                <w:color w:val="FF0000"/>
                <w:kern w:val="0"/>
                <w:szCs w:val="21"/>
              </w:rPr>
            </w:pPr>
            <w:r>
              <w:rPr>
                <w:rFonts w:ascii="Times New Roman" w:hAnsi="Times New Roman" w:eastAsia="仿宋_GB2312"/>
                <w:color w:val="FF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keepNext w:val="0"/>
              <w:keepLines w:val="0"/>
              <w:widowControl/>
              <w:suppressLineNumbers w:val="0"/>
              <w:jc w:val="left"/>
              <w:textAlignment w:val="center"/>
              <w:rPr>
                <w:rFonts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未立即采取处置措施，导致危害扩大，并导致人员受伤1-3人的。</w:t>
            </w:r>
          </w:p>
        </w:tc>
        <w:tc>
          <w:tcPr>
            <w:tcW w:w="2688" w:type="dxa"/>
            <w:vAlign w:val="center"/>
          </w:tcPr>
          <w:p>
            <w:pPr>
              <w:snapToGrid w:val="0"/>
              <w:rPr>
                <w:rFonts w:ascii="Times New Roman" w:hAnsi="Times New Roman" w:eastAsia="仿宋_GB2312"/>
                <w:color w:val="FF0000"/>
                <w:kern w:val="0"/>
                <w:sz w:val="21"/>
                <w:szCs w:val="21"/>
              </w:rPr>
            </w:pPr>
            <w:r>
              <w:rPr>
                <w:rFonts w:ascii="Times New Roman" w:hAnsi="Times New Roman" w:eastAsia="仿宋_GB2312"/>
                <w:color w:val="FF0000"/>
                <w:sz w:val="21"/>
                <w:szCs w:val="21"/>
              </w:rPr>
              <w:t>处以</w:t>
            </w:r>
            <w:r>
              <w:rPr>
                <w:rFonts w:hint="eastAsia" w:ascii="Times New Roman" w:hAnsi="Times New Roman" w:eastAsia="仿宋_GB2312"/>
                <w:color w:val="FF0000"/>
                <w:sz w:val="21"/>
                <w:szCs w:val="21"/>
                <w:lang w:eastAsia="zh-CN"/>
              </w:rPr>
              <w:t>一万</w:t>
            </w:r>
            <w:r>
              <w:rPr>
                <w:rFonts w:ascii="Times New Roman" w:hAnsi="Times New Roman" w:eastAsia="仿宋_GB2312"/>
                <w:color w:val="FF0000"/>
                <w:sz w:val="21"/>
                <w:szCs w:val="21"/>
              </w:rPr>
              <w:t>元以上</w:t>
            </w:r>
            <w:r>
              <w:rPr>
                <w:rFonts w:hint="eastAsia" w:ascii="Times New Roman" w:hAnsi="Times New Roman" w:eastAsia="仿宋_GB2312"/>
                <w:color w:val="FF0000"/>
                <w:sz w:val="21"/>
                <w:szCs w:val="21"/>
                <w:lang w:eastAsia="zh-CN"/>
              </w:rPr>
              <w:t>二</w:t>
            </w:r>
            <w:r>
              <w:rPr>
                <w:rFonts w:ascii="Times New Roman" w:hAnsi="Times New Roman" w:eastAsia="仿宋_GB2312"/>
                <w:color w:val="FF0000"/>
                <w:sz w:val="21"/>
                <w:szCs w:val="21"/>
              </w:rPr>
              <w:t>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罚款。</w:t>
            </w:r>
          </w:p>
        </w:tc>
        <w:tc>
          <w:tcPr>
            <w:tcW w:w="3327" w:type="dxa"/>
            <w:vAlign w:val="center"/>
          </w:tcPr>
          <w:p>
            <w:pPr>
              <w:keepNext w:val="0"/>
              <w:keepLines w:val="0"/>
              <w:widowControl/>
              <w:suppressLineNumbers w:val="0"/>
              <w:jc w:val="left"/>
              <w:textAlignment w:val="center"/>
              <w:rPr>
                <w:rFonts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未采取应急处置措施导致危害扩大，并导致人员受伤4人以上的。</w:t>
            </w:r>
          </w:p>
        </w:tc>
        <w:tc>
          <w:tcPr>
            <w:tcW w:w="2688" w:type="dxa"/>
            <w:vAlign w:val="center"/>
          </w:tcPr>
          <w:p>
            <w:pPr>
              <w:snapToGrid w:val="0"/>
              <w:rPr>
                <w:rFonts w:ascii="Times New Roman" w:hAnsi="Times New Roman" w:eastAsia="仿宋_GB2312"/>
                <w:color w:val="FF0000"/>
                <w:kern w:val="0"/>
                <w:sz w:val="21"/>
                <w:szCs w:val="21"/>
              </w:rPr>
            </w:pPr>
            <w:r>
              <w:rPr>
                <w:rFonts w:ascii="Times New Roman" w:hAnsi="Times New Roman" w:eastAsia="仿宋_GB2312"/>
                <w:color w:val="FF0000"/>
                <w:sz w:val="21"/>
                <w:szCs w:val="21"/>
              </w:rPr>
              <w:t>处以</w:t>
            </w:r>
            <w:r>
              <w:rPr>
                <w:rFonts w:hint="eastAsia" w:ascii="Times New Roman" w:hAnsi="Times New Roman" w:eastAsia="仿宋_GB2312"/>
                <w:color w:val="FF0000"/>
                <w:sz w:val="21"/>
                <w:szCs w:val="21"/>
                <w:lang w:eastAsia="zh-CN"/>
              </w:rPr>
              <w:t>二</w:t>
            </w:r>
            <w:r>
              <w:rPr>
                <w:rFonts w:ascii="Times New Roman" w:hAnsi="Times New Roman" w:eastAsia="仿宋_GB2312"/>
                <w:color w:val="FF0000"/>
                <w:sz w:val="21"/>
                <w:szCs w:val="21"/>
              </w:rPr>
              <w:t>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责令停业整顿、吊销卫生许可证。</w:t>
            </w:r>
          </w:p>
        </w:tc>
        <w:tc>
          <w:tcPr>
            <w:tcW w:w="3327" w:type="dxa"/>
            <w:vAlign w:val="center"/>
          </w:tcPr>
          <w:p>
            <w:pPr>
              <w:keepNext w:val="0"/>
              <w:keepLines w:val="0"/>
              <w:widowControl/>
              <w:suppressLineNumbers w:val="0"/>
              <w:jc w:val="left"/>
              <w:textAlignment w:val="center"/>
              <w:rPr>
                <w:rFonts w:ascii="Times New Roman" w:hAnsi="Times New Roman" w:eastAsia="仿宋_GB2312"/>
                <w:color w:val="FF0000"/>
                <w:kern w:val="0"/>
                <w:szCs w:val="21"/>
              </w:rPr>
            </w:pPr>
            <w:r>
              <w:rPr>
                <w:rFonts w:ascii="Times New Roman" w:hAnsi="Times New Roman" w:eastAsia="仿宋_GB2312"/>
                <w:color w:val="FF0000"/>
                <w:kern w:val="0"/>
                <w:szCs w:val="21"/>
              </w:rPr>
              <w:t>情节严重的（指</w:t>
            </w:r>
            <w:r>
              <w:rPr>
                <w:rFonts w:hint="eastAsia" w:ascii="Times New Roman" w:hAnsi="Times New Roman" w:eastAsia="仿宋_GB2312" w:cs="宋体"/>
                <w:color w:val="FF0000"/>
                <w:kern w:val="0"/>
                <w:sz w:val="21"/>
                <w:szCs w:val="21"/>
                <w:lang w:val="en-US" w:eastAsia="zh-CN" w:bidi="ar-SA"/>
              </w:rPr>
              <w:t>导致死亡1人以上的、</w:t>
            </w:r>
            <w:r>
              <w:rPr>
                <w:rFonts w:ascii="Times New Roman" w:hAnsi="Times New Roman" w:eastAsia="仿宋_GB2312"/>
                <w:color w:val="FF0000"/>
                <w:kern w:val="0"/>
                <w:szCs w:val="21"/>
              </w:rPr>
              <w:t>拒不改正的、弄虚作假的、抗拒执法的、社会影响恶劣的、以及其它严重危害后果的</w:t>
            </w:r>
            <w:r>
              <w:rPr>
                <w:rFonts w:hint="eastAsia" w:ascii="Times New Roman" w:hAnsi="Times New Roman" w:eastAsia="仿宋_GB2312"/>
                <w:color w:val="FF0000"/>
                <w:kern w:val="0"/>
                <w:szCs w:val="21"/>
                <w:lang w:eastAsia="zh-CN"/>
              </w:rPr>
              <w:t>等</w:t>
            </w:r>
            <w:r>
              <w:rPr>
                <w:rFonts w:ascii="Times New Roman" w:hAnsi="Times New Roman" w:eastAsia="仿宋_GB2312"/>
                <w:color w:val="FF0000"/>
                <w:kern w:val="0"/>
                <w:szCs w:val="21"/>
              </w:rPr>
              <w:t>）。</w:t>
            </w:r>
          </w:p>
        </w:tc>
        <w:tc>
          <w:tcPr>
            <w:tcW w:w="2688" w:type="dxa"/>
            <w:vAlign w:val="center"/>
          </w:tcPr>
          <w:p>
            <w:pPr>
              <w:snapToGrid w:val="0"/>
              <w:rPr>
                <w:rFonts w:ascii="Times New Roman" w:hAnsi="Times New Roman" w:eastAsia="仿宋_GB2312"/>
                <w:color w:val="FF0000"/>
                <w:kern w:val="0"/>
                <w:sz w:val="21"/>
                <w:szCs w:val="21"/>
              </w:rPr>
            </w:pPr>
            <w:r>
              <w:rPr>
                <w:rFonts w:ascii="Times New Roman" w:hAnsi="Times New Roman" w:eastAsia="仿宋_GB2312"/>
                <w:color w:val="FF0000"/>
                <w:sz w:val="21"/>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restart"/>
            <w:vAlign w:val="center"/>
          </w:tcPr>
          <w:p>
            <w:p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16</w:t>
            </w:r>
          </w:p>
        </w:tc>
        <w:tc>
          <w:tcPr>
            <w:tcW w:w="1993"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szCs w:val="21"/>
              </w:rPr>
              <w:t>公共场所经营者对发生的危害健康事故隐瞒、缓报、谎报的。</w:t>
            </w:r>
          </w:p>
        </w:tc>
        <w:tc>
          <w:tcPr>
            <w:tcW w:w="3797" w:type="dxa"/>
            <w:vMerge w:val="restart"/>
            <w:vAlign w:val="center"/>
          </w:tcPr>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违法条款：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《条例》第九条　公共场所因不符合卫生标准和要求造成危害健康事故的，经营单位应妥善处理，并及时报告卫生防疫机构。</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《细则》第二十一条第二款　　任何单位或者个人对危害健康事故不得隐瞒、缓报、谎报或者授意他人隐瞒、缓报、谎报。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420" w:firstLineChars="200"/>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依据条款：</w:t>
            </w:r>
          </w:p>
          <w:p>
            <w:pPr>
              <w:snapToGrid w:val="0"/>
              <w:rPr>
                <w:rFonts w:ascii="Times New Roman" w:hAnsi="Times New Roman" w:eastAsia="仿宋_GB2312"/>
                <w:color w:val="000000"/>
                <w:kern w:val="0"/>
                <w:szCs w:val="21"/>
              </w:rPr>
            </w:pPr>
            <w:r>
              <w:rPr>
                <w:rFonts w:hint="eastAsia" w:ascii="Times New Roman" w:hAnsi="Times New Roman" w:eastAsia="仿宋_GB2312" w:cs="Times New Roman"/>
                <w:color w:val="000000"/>
                <w:kern w:val="2"/>
                <w:sz w:val="21"/>
                <w:szCs w:val="21"/>
                <w:lang w:val="en-US" w:eastAsia="zh-CN" w:bidi="ar-SA"/>
              </w:rPr>
              <w:t>《细则》</w:t>
            </w:r>
            <w:r>
              <w:rPr>
                <w:rFonts w:ascii="Times New Roman" w:hAnsi="Times New Roman" w:eastAsia="仿宋_GB2312" w:cs="Times New Roman"/>
                <w:color w:val="000000"/>
                <w:kern w:val="2"/>
                <w:sz w:val="21"/>
                <w:szCs w:val="21"/>
                <w:lang w:val="en-US" w:eastAsia="zh-CN" w:bidi="ar-SA"/>
              </w:rPr>
              <w:t>第三十九条:公</w:t>
            </w:r>
            <w:r>
              <w:rPr>
                <w:rFonts w:ascii="Times New Roman" w:hAnsi="Times New Roman" w:eastAsia="仿宋_GB2312"/>
                <w:color w:val="000000"/>
                <w:szCs w:val="21"/>
              </w:rPr>
              <w:t>共场所经营者对发生的危害健康事故未立即采取处置措施，导致危害扩大；或者隐瞒、缓报、谎报的，由县级以上地方人民政府卫生计生行政部门处以五千元以上三万元以下罚款；情节严重的，可以依法责令停业整顿，直至吊销卫生许可证。构成犯罪的，依法追究刑事责任。</w:t>
            </w: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r>
              <w:rPr>
                <w:rFonts w:hint="eastAsia" w:ascii="Times New Roman" w:hAnsi="Times New Roman" w:eastAsia="仿宋_GB2312"/>
                <w:color w:val="000000"/>
                <w:szCs w:val="21"/>
                <w:lang w:eastAsia="zh-CN"/>
              </w:rPr>
              <w:t>。</w:t>
            </w:r>
          </w:p>
        </w:tc>
        <w:tc>
          <w:tcPr>
            <w:tcW w:w="3327" w:type="dxa"/>
            <w:vAlign w:val="center"/>
          </w:tcPr>
          <w:p>
            <w:pPr>
              <w:keepNext w:val="0"/>
              <w:keepLines w:val="0"/>
              <w:widowControl/>
              <w:suppressLineNumbers w:val="0"/>
              <w:jc w:val="left"/>
              <w:textAlignment w:val="center"/>
              <w:rPr>
                <w:rFonts w:hint="eastAsia"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隐瞒、缓报、谎报事故信息，但能立即采取处置措施控制危害扩大的。</w:t>
            </w:r>
          </w:p>
        </w:tc>
        <w:tc>
          <w:tcPr>
            <w:tcW w:w="2688" w:type="dxa"/>
            <w:vAlign w:val="center"/>
          </w:tcPr>
          <w:p>
            <w:pPr>
              <w:snapToGrid w:val="0"/>
              <w:rPr>
                <w:rFonts w:ascii="Times New Roman" w:hAnsi="Times New Roman" w:eastAsia="仿宋_GB2312" w:cs="Times New Roman"/>
                <w:color w:val="FF0000"/>
                <w:kern w:val="2"/>
                <w:sz w:val="21"/>
                <w:szCs w:val="21"/>
                <w:lang w:val="en-US" w:eastAsia="zh-CN" w:bidi="ar-SA"/>
              </w:rPr>
            </w:pPr>
            <w:r>
              <w:rPr>
                <w:rFonts w:ascii="Times New Roman" w:hAnsi="Times New Roman" w:eastAsia="仿宋_GB2312"/>
                <w:color w:val="FF0000"/>
                <w:sz w:val="21"/>
                <w:szCs w:val="21"/>
              </w:rPr>
              <w:t>处以五千元以上一万元以下罚款。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restart"/>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keepNext w:val="0"/>
              <w:keepLines w:val="0"/>
              <w:widowControl/>
              <w:suppressLineNumbers w:val="0"/>
              <w:jc w:val="left"/>
              <w:textAlignment w:val="center"/>
              <w:rPr>
                <w:rFonts w:hint="eastAsia"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隐瞒、缓报、谎报事故信息，且未立即采取处置措施导致危害扩大，但未有人员受伤的。</w:t>
            </w:r>
          </w:p>
        </w:tc>
        <w:tc>
          <w:tcPr>
            <w:tcW w:w="2688" w:type="dxa"/>
            <w:vAlign w:val="center"/>
          </w:tcPr>
          <w:p>
            <w:pPr>
              <w:snapToGrid w:val="0"/>
              <w:rPr>
                <w:rFonts w:ascii="Times New Roman" w:hAnsi="Times New Roman" w:eastAsia="仿宋_GB2312" w:cs="Times New Roman"/>
                <w:color w:val="FF0000"/>
                <w:kern w:val="0"/>
                <w:sz w:val="21"/>
                <w:szCs w:val="21"/>
                <w:lang w:val="en-US" w:eastAsia="zh-CN" w:bidi="ar-SA"/>
              </w:rPr>
            </w:pPr>
            <w:r>
              <w:rPr>
                <w:rFonts w:ascii="Times New Roman" w:hAnsi="Times New Roman" w:eastAsia="仿宋_GB2312"/>
                <w:color w:val="FF0000"/>
                <w:sz w:val="21"/>
                <w:szCs w:val="21"/>
              </w:rPr>
              <w:t>处以</w:t>
            </w:r>
            <w:r>
              <w:rPr>
                <w:rFonts w:hint="eastAsia" w:ascii="Times New Roman" w:hAnsi="Times New Roman" w:eastAsia="仿宋_GB2312"/>
                <w:color w:val="FF0000"/>
                <w:sz w:val="21"/>
                <w:szCs w:val="21"/>
                <w:lang w:eastAsia="zh-CN"/>
              </w:rPr>
              <w:t>一万</w:t>
            </w:r>
            <w:r>
              <w:rPr>
                <w:rFonts w:ascii="Times New Roman" w:hAnsi="Times New Roman" w:eastAsia="仿宋_GB2312"/>
                <w:color w:val="FF0000"/>
                <w:sz w:val="21"/>
                <w:szCs w:val="21"/>
              </w:rPr>
              <w:t>元以上</w:t>
            </w:r>
            <w:r>
              <w:rPr>
                <w:rFonts w:hint="eastAsia" w:ascii="Times New Roman" w:hAnsi="Times New Roman" w:eastAsia="仿宋_GB2312"/>
                <w:color w:val="FF0000"/>
                <w:sz w:val="21"/>
                <w:szCs w:val="21"/>
                <w:lang w:eastAsia="zh-CN"/>
              </w:rPr>
              <w:t>二</w:t>
            </w:r>
            <w:r>
              <w:rPr>
                <w:rFonts w:ascii="Times New Roman" w:hAnsi="Times New Roman" w:eastAsia="仿宋_GB2312"/>
                <w:color w:val="FF0000"/>
                <w:sz w:val="21"/>
                <w:szCs w:val="21"/>
              </w:rPr>
              <w:t>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Merge w:val="continue"/>
            <w:vAlign w:val="center"/>
          </w:tcPr>
          <w:p>
            <w:pPr>
              <w:snapToGrid w:val="0"/>
              <w:rPr>
                <w:rFonts w:ascii="Times New Roman" w:hAnsi="Times New Roman" w:eastAsia="仿宋_GB2312"/>
                <w:color w:val="000000"/>
                <w:kern w:val="0"/>
                <w:szCs w:val="21"/>
              </w:rPr>
            </w:pP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罚款。</w:t>
            </w:r>
          </w:p>
        </w:tc>
        <w:tc>
          <w:tcPr>
            <w:tcW w:w="3327" w:type="dxa"/>
            <w:vAlign w:val="center"/>
          </w:tcPr>
          <w:p>
            <w:pPr>
              <w:keepNext w:val="0"/>
              <w:keepLines w:val="0"/>
              <w:widowControl/>
              <w:suppressLineNumbers w:val="0"/>
              <w:jc w:val="left"/>
              <w:textAlignment w:val="center"/>
              <w:rPr>
                <w:rFonts w:hint="eastAsia" w:ascii="Times New Roman" w:hAnsi="Times New Roman" w:eastAsia="仿宋_GB2312" w:cs="宋体"/>
                <w:color w:val="FF0000"/>
                <w:kern w:val="0"/>
                <w:sz w:val="21"/>
                <w:szCs w:val="21"/>
                <w:lang w:val="en-US" w:eastAsia="zh-CN" w:bidi="ar-SA"/>
              </w:rPr>
            </w:pPr>
            <w:r>
              <w:rPr>
                <w:rFonts w:hint="eastAsia" w:ascii="Times New Roman" w:hAnsi="Times New Roman" w:eastAsia="仿宋_GB2312" w:cs="宋体"/>
                <w:color w:val="FF0000"/>
                <w:kern w:val="0"/>
                <w:sz w:val="21"/>
                <w:szCs w:val="21"/>
                <w:lang w:val="en-US" w:eastAsia="zh-CN" w:bidi="ar-SA"/>
              </w:rPr>
              <w:t>隐瞒、缓报、谎报事故信息，且事故导致人员受伤3人以下的。</w:t>
            </w:r>
          </w:p>
        </w:tc>
        <w:tc>
          <w:tcPr>
            <w:tcW w:w="2688" w:type="dxa"/>
            <w:vAlign w:val="center"/>
          </w:tcPr>
          <w:p>
            <w:pPr>
              <w:snapToGrid w:val="0"/>
              <w:rPr>
                <w:rFonts w:ascii="Times New Roman" w:hAnsi="Times New Roman" w:eastAsia="仿宋_GB2312" w:cs="Times New Roman"/>
                <w:color w:val="FF0000"/>
                <w:kern w:val="0"/>
                <w:sz w:val="21"/>
                <w:szCs w:val="21"/>
                <w:lang w:val="en-US" w:eastAsia="zh-CN" w:bidi="ar-SA"/>
              </w:rPr>
            </w:pPr>
            <w:r>
              <w:rPr>
                <w:rFonts w:ascii="Times New Roman" w:hAnsi="Times New Roman" w:eastAsia="仿宋_GB2312"/>
                <w:color w:val="FF0000"/>
                <w:sz w:val="21"/>
                <w:szCs w:val="21"/>
              </w:rPr>
              <w:t>处以</w:t>
            </w:r>
            <w:r>
              <w:rPr>
                <w:rFonts w:hint="eastAsia" w:ascii="Times New Roman" w:hAnsi="Times New Roman" w:eastAsia="仿宋_GB2312"/>
                <w:color w:val="FF0000"/>
                <w:sz w:val="21"/>
                <w:szCs w:val="21"/>
                <w:lang w:eastAsia="zh-CN"/>
              </w:rPr>
              <w:t>二</w:t>
            </w:r>
            <w:r>
              <w:rPr>
                <w:rFonts w:ascii="Times New Roman" w:hAnsi="Times New Roman" w:eastAsia="仿宋_GB2312"/>
                <w:color w:val="FF0000"/>
                <w:sz w:val="21"/>
                <w:szCs w:val="21"/>
              </w:rPr>
              <w:t>万元以上三万元以下罚款。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color w:val="000000"/>
                <w:kern w:val="0"/>
                <w:szCs w:val="21"/>
              </w:rPr>
            </w:pPr>
          </w:p>
        </w:tc>
        <w:tc>
          <w:tcPr>
            <w:tcW w:w="1993" w:type="dxa"/>
            <w:vMerge w:val="continue"/>
            <w:vAlign w:val="center"/>
          </w:tcPr>
          <w:p>
            <w:pPr>
              <w:snapToGrid w:val="0"/>
              <w:rPr>
                <w:rFonts w:ascii="Times New Roman" w:hAnsi="Times New Roman" w:eastAsia="仿宋_GB2312"/>
                <w:color w:val="000000"/>
                <w:kern w:val="0"/>
                <w:szCs w:val="21"/>
              </w:rPr>
            </w:pPr>
          </w:p>
        </w:tc>
        <w:tc>
          <w:tcPr>
            <w:tcW w:w="3797" w:type="dxa"/>
            <w:vMerge w:val="continue"/>
            <w:vAlign w:val="center"/>
          </w:tcPr>
          <w:p>
            <w:pPr>
              <w:snapToGrid w:val="0"/>
              <w:rPr>
                <w:rFonts w:ascii="Times New Roman" w:hAnsi="Times New Roman" w:eastAsia="仿宋_GB2312"/>
                <w:color w:val="000000"/>
                <w:kern w:val="0"/>
                <w:szCs w:val="21"/>
              </w:rPr>
            </w:pPr>
          </w:p>
        </w:tc>
        <w:tc>
          <w:tcPr>
            <w:tcW w:w="814" w:type="dxa"/>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vAlign w:val="center"/>
          </w:tcPr>
          <w:p>
            <w:pPr>
              <w:snapToGrid w:val="0"/>
              <w:rPr>
                <w:rFonts w:ascii="Times New Roman" w:hAnsi="Times New Roman" w:eastAsia="仿宋_GB2312"/>
                <w:color w:val="000000"/>
                <w:szCs w:val="21"/>
              </w:rPr>
            </w:pPr>
            <w:r>
              <w:rPr>
                <w:rFonts w:ascii="Times New Roman" w:hAnsi="Times New Roman" w:eastAsia="仿宋_GB2312"/>
                <w:color w:val="000000"/>
                <w:szCs w:val="21"/>
              </w:rPr>
              <w:t>责令停业整顿、吊销卫生许可证。</w:t>
            </w:r>
          </w:p>
        </w:tc>
        <w:tc>
          <w:tcPr>
            <w:tcW w:w="3327" w:type="dxa"/>
            <w:vAlign w:val="center"/>
          </w:tcPr>
          <w:p>
            <w:pPr>
              <w:keepNext w:val="0"/>
              <w:keepLines w:val="0"/>
              <w:widowControl/>
              <w:suppressLineNumbers w:val="0"/>
              <w:jc w:val="left"/>
              <w:textAlignment w:val="center"/>
              <w:rPr>
                <w:rFonts w:hint="eastAsia" w:ascii="宋体" w:hAnsi="宋体" w:eastAsia="宋体" w:cs="宋体"/>
                <w:i w:val="0"/>
                <w:color w:val="FF0000"/>
                <w:kern w:val="2"/>
                <w:sz w:val="18"/>
                <w:szCs w:val="18"/>
                <w:u w:val="none"/>
                <w:lang w:val="en-US" w:eastAsia="zh-CN" w:bidi="ar-SA"/>
              </w:rPr>
            </w:pPr>
            <w:r>
              <w:rPr>
                <w:rFonts w:ascii="Times New Roman" w:hAnsi="Times New Roman" w:eastAsia="仿宋_GB2312"/>
                <w:color w:val="FF0000"/>
                <w:kern w:val="0"/>
                <w:szCs w:val="21"/>
              </w:rPr>
              <w:t>情节严重的（指</w:t>
            </w:r>
            <w:r>
              <w:rPr>
                <w:rFonts w:hint="eastAsia" w:ascii="Times New Roman" w:hAnsi="Times New Roman" w:eastAsia="仿宋_GB2312" w:cs="宋体"/>
                <w:color w:val="FF0000"/>
                <w:kern w:val="0"/>
                <w:sz w:val="21"/>
                <w:szCs w:val="21"/>
                <w:lang w:val="en-US" w:eastAsia="zh-CN" w:bidi="ar-SA"/>
              </w:rPr>
              <w:t>隐瞒、缓报、谎报事故信息，且事故导致人员受伤4人以上或死亡1人以上的，或</w:t>
            </w:r>
            <w:r>
              <w:rPr>
                <w:rFonts w:ascii="Times New Roman" w:hAnsi="Times New Roman" w:eastAsia="仿宋_GB2312"/>
                <w:color w:val="FF0000"/>
                <w:kern w:val="0"/>
                <w:szCs w:val="21"/>
              </w:rPr>
              <w:t>拒不改正的、弄虚作假的、抗拒执法的、社会影响恶劣的、以及其它严重危害后果的</w:t>
            </w:r>
            <w:r>
              <w:rPr>
                <w:rFonts w:hint="eastAsia" w:ascii="Times New Roman" w:hAnsi="Times New Roman" w:eastAsia="仿宋_GB2312"/>
                <w:color w:val="FF0000"/>
                <w:kern w:val="0"/>
                <w:szCs w:val="21"/>
                <w:lang w:eastAsia="zh-CN"/>
              </w:rPr>
              <w:t>等</w:t>
            </w:r>
            <w:r>
              <w:rPr>
                <w:rFonts w:ascii="Times New Roman" w:hAnsi="Times New Roman" w:eastAsia="仿宋_GB2312"/>
                <w:color w:val="FF0000"/>
                <w:kern w:val="0"/>
                <w:szCs w:val="21"/>
              </w:rPr>
              <w:t>）。</w:t>
            </w:r>
          </w:p>
        </w:tc>
        <w:tc>
          <w:tcPr>
            <w:tcW w:w="2688" w:type="dxa"/>
            <w:vAlign w:val="center"/>
          </w:tcPr>
          <w:p>
            <w:pPr>
              <w:snapToGrid w:val="0"/>
              <w:rPr>
                <w:rFonts w:ascii="Times New Roman" w:hAnsi="Times New Roman" w:eastAsia="仿宋_GB2312" w:cs="Times New Roman"/>
                <w:color w:val="FF0000"/>
                <w:kern w:val="0"/>
                <w:sz w:val="21"/>
                <w:szCs w:val="21"/>
                <w:lang w:val="en-US" w:eastAsia="zh-CN" w:bidi="ar-SA"/>
              </w:rPr>
            </w:pPr>
            <w:r>
              <w:rPr>
                <w:rFonts w:ascii="Times New Roman" w:hAnsi="Times New Roman" w:eastAsia="仿宋_GB2312"/>
                <w:color w:val="FF0000"/>
                <w:sz w:val="21"/>
                <w:szCs w:val="21"/>
              </w:rPr>
              <w:t>责令停业整顿，直至吊销卫生许可证。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3" w:hRule="atLeast"/>
          <w:jc w:val="center"/>
        </w:trPr>
        <w:tc>
          <w:tcPr>
            <w:tcW w:w="568" w:type="dxa"/>
            <w:vMerge w:val="restart"/>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w:t>
            </w:r>
          </w:p>
        </w:tc>
        <w:tc>
          <w:tcPr>
            <w:tcW w:w="1993" w:type="dxa"/>
            <w:vMerge w:val="restart"/>
            <w:noWrap w:val="0"/>
            <w:vAlign w:val="center"/>
          </w:tcPr>
          <w:p>
            <w:pPr>
              <w:snapToGrid w:val="0"/>
              <w:rPr>
                <w:rFonts w:hint="eastAsia" w:ascii="Times New Roman" w:hAnsi="Times New Roman" w:eastAsia="仿宋"/>
                <w:color w:val="000000"/>
                <w:kern w:val="0"/>
                <w:szCs w:val="21"/>
                <w:lang w:eastAsia="zh-CN"/>
              </w:rPr>
            </w:pPr>
            <w:r>
              <w:rPr>
                <w:rFonts w:hint="eastAsia" w:ascii="仿宋_GB2312" w:hAnsi="仿宋_GB2312" w:eastAsia="仿宋_GB2312" w:cs="仿宋_GB2312"/>
                <w:i w:val="0"/>
                <w:caps w:val="0"/>
                <w:color w:val="auto"/>
                <w:spacing w:val="0"/>
                <w:sz w:val="21"/>
                <w:szCs w:val="21"/>
                <w:shd w:val="clear" w:color="auto" w:fill="FFFFFF"/>
                <w:vertAlign w:val="baseline"/>
              </w:rPr>
              <w:t>旅客在禁止吸烟场所吸烟且不听劝阻的</w:t>
            </w:r>
            <w:r>
              <w:rPr>
                <w:rFonts w:hint="eastAsia" w:ascii="仿宋_GB2312" w:hAnsi="仿宋_GB2312" w:eastAsia="仿宋_GB2312" w:cs="仿宋_GB2312"/>
                <w:i w:val="0"/>
                <w:caps w:val="0"/>
                <w:color w:val="auto"/>
                <w:spacing w:val="0"/>
                <w:sz w:val="21"/>
                <w:szCs w:val="21"/>
                <w:shd w:val="clear" w:color="auto" w:fill="FFFFFF"/>
                <w:vertAlign w:val="baseline"/>
                <w:lang w:eastAsia="zh-CN"/>
              </w:rPr>
              <w:t>。</w:t>
            </w:r>
          </w:p>
        </w:tc>
        <w:tc>
          <w:tcPr>
            <w:tcW w:w="3797" w:type="dxa"/>
            <w:vMerge w:val="restart"/>
            <w:noWrap w:val="0"/>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240" w:lineRule="auto"/>
              <w:ind w:left="0" w:right="0" w:firstLine="0"/>
              <w:textAlignment w:val="baseline"/>
              <w:rPr>
                <w:rFonts w:hint="eastAsia"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违法条款：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240" w:lineRule="auto"/>
              <w:ind w:left="0" w:right="0" w:firstLine="210" w:firstLineChars="100"/>
              <w:textAlignment w:val="baseline"/>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《规定》</w:t>
            </w:r>
            <w:r>
              <w:rPr>
                <w:rFonts w:hint="default" w:ascii="Times New Roman" w:hAnsi="Times New Roman" w:eastAsia="仿宋_GB2312" w:cs="Times New Roman"/>
                <w:color w:val="000000"/>
                <w:kern w:val="0"/>
                <w:sz w:val="21"/>
                <w:szCs w:val="21"/>
                <w:lang w:val="en-US" w:eastAsia="zh-CN"/>
              </w:rPr>
              <w:t>第二十五条第二款</w:t>
            </w:r>
            <w:r>
              <w:rPr>
                <w:rFonts w:hint="eastAsia" w:ascii="Times New Roman" w:hAnsi="Times New Roman" w:eastAsia="仿宋_GB2312" w:cs="Times New Roman"/>
                <w:color w:val="000000"/>
                <w:kern w:val="0"/>
                <w:sz w:val="21"/>
                <w:szCs w:val="21"/>
                <w:lang w:val="en-US" w:eastAsia="zh-CN"/>
              </w:rPr>
              <w:t xml:space="preserve">  </w:t>
            </w:r>
            <w:r>
              <w:rPr>
                <w:rFonts w:hint="default" w:ascii="Times New Roman" w:hAnsi="Times New Roman" w:eastAsia="仿宋_GB2312" w:cs="Times New Roman"/>
                <w:color w:val="000000"/>
                <w:kern w:val="0"/>
                <w:sz w:val="21"/>
                <w:szCs w:val="21"/>
                <w:lang w:val="en-US" w:eastAsia="zh-CN"/>
              </w:rPr>
              <w:t>非吸烟住宿楼层和客房、吸烟区和吸烟室以外的公共活动区域禁止吸烟，旅馆应当在该区域张贴或者摆放禁烟标识。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240" w:lineRule="auto"/>
              <w:ind w:left="0" w:right="0" w:firstLine="0"/>
              <w:textAlignment w:val="baseline"/>
              <w:rPr>
                <w:rFonts w:hint="eastAsia"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依据条款：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240" w:lineRule="auto"/>
              <w:ind w:left="0" w:right="0" w:firstLine="210" w:firstLineChars="100"/>
              <w:textAlignment w:val="baseline"/>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《规定》</w:t>
            </w:r>
            <w:r>
              <w:rPr>
                <w:rFonts w:hint="default" w:ascii="Times New Roman" w:hAnsi="Times New Roman" w:eastAsia="仿宋_GB2312" w:cs="Times New Roman"/>
                <w:color w:val="000000"/>
                <w:kern w:val="0"/>
                <w:sz w:val="21"/>
                <w:szCs w:val="21"/>
                <w:lang w:val="en-US" w:eastAsia="zh-CN"/>
              </w:rPr>
              <w:t>第四十四条</w:t>
            </w:r>
            <w:r>
              <w:rPr>
                <w:rFonts w:hint="eastAsia" w:ascii="Times New Roman" w:hAnsi="Times New Roman" w:eastAsia="仿宋_GB2312" w:cs="Times New Roman"/>
                <w:color w:val="000000"/>
                <w:kern w:val="0"/>
                <w:sz w:val="21"/>
                <w:szCs w:val="21"/>
                <w:lang w:val="en-US" w:eastAsia="zh-CN"/>
              </w:rPr>
              <w:t>第二款</w:t>
            </w:r>
            <w:r>
              <w:rPr>
                <w:rFonts w:hint="default" w:ascii="Times New Roman" w:hAnsi="Times New Roman" w:eastAsia="仿宋_GB2312" w:cs="Times New Roman"/>
                <w:color w:val="000000"/>
                <w:kern w:val="0"/>
                <w:sz w:val="21"/>
                <w:szCs w:val="21"/>
                <w:lang w:val="en-US" w:eastAsia="zh-CN"/>
              </w:rPr>
              <w:t> 违反本规定第二十五条第二款规定，旅客在禁止吸烟场所吸烟且不听劝阻的，由旅馆所在地市、县、自治县人民政府卫生行政主管部门责令改正，并处50元以上200元以下的罚款。</w:t>
            </w:r>
          </w:p>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top"/>
          </w:tcPr>
          <w:p>
            <w:pPr>
              <w:snapToGrid w:val="0"/>
              <w:rPr>
                <w:rFonts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旅客在禁止吸烟场所吸烟不听劝阻的。</w:t>
            </w:r>
            <w:bookmarkStart w:id="0" w:name="_GoBack"/>
            <w:bookmarkEnd w:id="0"/>
          </w:p>
        </w:tc>
        <w:tc>
          <w:tcPr>
            <w:tcW w:w="2688" w:type="dxa"/>
            <w:noWrap w:val="0"/>
            <w:vAlign w:val="top"/>
          </w:tcPr>
          <w:p>
            <w:pPr>
              <w:snapToGrid w:val="0"/>
              <w:rPr>
                <w:rFonts w:hint="default" w:ascii="Times New Roman" w:hAnsi="Times New Roman" w:eastAsia="仿宋_GB2312"/>
                <w:color w:val="000000"/>
                <w:kern w:val="0"/>
                <w:sz w:val="21"/>
                <w:szCs w:val="21"/>
                <w:lang w:val="en-US" w:eastAsia="zh-CN"/>
              </w:rPr>
            </w:pPr>
            <w:r>
              <w:rPr>
                <w:rFonts w:hint="default" w:ascii="Times New Roman" w:hAnsi="Times New Roman" w:eastAsia="仿宋_GB2312"/>
                <w:color w:val="000000"/>
                <w:kern w:val="0"/>
                <w:szCs w:val="21"/>
                <w:lang w:val="en-US" w:eastAsia="zh-CN"/>
              </w:rPr>
              <w:t>处五十元罚款</w:t>
            </w:r>
            <w:r>
              <w:rPr>
                <w:rFonts w:hint="eastAsia" w:ascii="Times New Roman" w:hAnsi="Times New Roman" w:eastAsia="仿宋_GB2312"/>
                <w:color w:val="00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5"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tcBorders/>
            <w:noWrap w:val="0"/>
            <w:vAlign w:val="center"/>
          </w:tcPr>
          <w:p>
            <w:pPr>
              <w:snapToGrid w:val="0"/>
              <w:rPr>
                <w:rFonts w:ascii="Times New Roman" w:hAnsi="Times New Roman" w:eastAsia="仿宋_GB2312"/>
                <w:color w:val="000000"/>
                <w:kern w:val="0"/>
                <w:szCs w:val="21"/>
              </w:rPr>
            </w:pPr>
          </w:p>
        </w:tc>
        <w:tc>
          <w:tcPr>
            <w:tcW w:w="3797" w:type="dxa"/>
            <w:vMerge w:val="continue"/>
            <w:tcBorders/>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top"/>
          </w:tcPr>
          <w:p>
            <w:pPr>
              <w:snapToGrid w:val="0"/>
              <w:rPr>
                <w:rFonts w:hint="default"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旅客在禁止吸烟场所吸烟不听劝阻，第二次受到行政处罚的。</w:t>
            </w:r>
          </w:p>
        </w:tc>
        <w:tc>
          <w:tcPr>
            <w:tcW w:w="2688" w:type="dxa"/>
            <w:noWrap w:val="0"/>
            <w:vAlign w:val="top"/>
          </w:tcPr>
          <w:p>
            <w:pPr>
              <w:snapToGrid w:val="0"/>
              <w:rPr>
                <w:rFonts w:hint="default"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处以五十元以上一百五十元以下罚款。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7"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tcBorders/>
            <w:noWrap w:val="0"/>
            <w:vAlign w:val="center"/>
          </w:tcPr>
          <w:p>
            <w:pPr>
              <w:snapToGrid w:val="0"/>
              <w:rPr>
                <w:rFonts w:ascii="Times New Roman" w:hAnsi="Times New Roman" w:eastAsia="仿宋_GB2312"/>
                <w:color w:val="000000"/>
                <w:kern w:val="0"/>
                <w:szCs w:val="21"/>
              </w:rPr>
            </w:pPr>
          </w:p>
        </w:tc>
        <w:tc>
          <w:tcPr>
            <w:tcW w:w="3797" w:type="dxa"/>
            <w:vMerge w:val="continue"/>
            <w:tcBorders/>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top"/>
          </w:tcPr>
          <w:p>
            <w:pPr>
              <w:snapToGrid w:val="0"/>
              <w:rPr>
                <w:rFonts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旅客在禁止吸烟场所吸烟不听劝阻，第三次及以上受到行政处罚的。</w:t>
            </w:r>
          </w:p>
        </w:tc>
        <w:tc>
          <w:tcPr>
            <w:tcW w:w="2688" w:type="dxa"/>
            <w:noWrap w:val="0"/>
            <w:vAlign w:val="top"/>
          </w:tcPr>
          <w:p>
            <w:pPr>
              <w:snapToGrid w:val="0"/>
              <w:rPr>
                <w:rFonts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处以一百五十元以上二百元以下罚款。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2" w:hRule="atLeast"/>
          <w:jc w:val="center"/>
        </w:trPr>
        <w:tc>
          <w:tcPr>
            <w:tcW w:w="568"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1</w:t>
            </w:r>
          </w:p>
        </w:tc>
        <w:tc>
          <w:tcPr>
            <w:tcW w:w="1993" w:type="dxa"/>
            <w:vMerge w:val="restart"/>
            <w:noWrap w:val="0"/>
            <w:vAlign w:val="center"/>
          </w:tcPr>
          <w:p>
            <w:pPr>
              <w:snapToGrid w:val="0"/>
              <w:rPr>
                <w:rFonts w:hint="default" w:ascii="Times New Roman" w:hAnsi="Times New Roman" w:eastAsia="仿宋_GB2312"/>
                <w:color w:val="000000"/>
                <w:kern w:val="0"/>
                <w:szCs w:val="21"/>
                <w:lang w:eastAsia="zh-CN"/>
              </w:rPr>
            </w:pPr>
            <w:r>
              <w:rPr>
                <w:rFonts w:hint="default" w:ascii="Times New Roman" w:hAnsi="Times New Roman" w:eastAsia="仿宋_GB2312"/>
                <w:color w:val="000000"/>
                <w:kern w:val="0"/>
                <w:szCs w:val="21"/>
                <w:lang w:val="en-US" w:eastAsia="zh-CN"/>
              </w:rPr>
              <w:t>无正当理由，不参加灭除病媒生物活动等爱国卫生专项治理活动</w:t>
            </w: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w:t>
            </w:r>
            <w:r>
              <w:rPr>
                <w:rFonts w:hint="eastAsia" w:ascii="Times New Roman" w:hAnsi="Times New Roman" w:eastAsia="仿宋_GB2312"/>
                <w:color w:val="000000"/>
                <w:kern w:val="0"/>
                <w:szCs w:val="21"/>
                <w:lang w:val="en-US" w:eastAsia="zh-CN"/>
              </w:rPr>
              <w:t>，</w:t>
            </w:r>
            <w:r>
              <w:rPr>
                <w:rFonts w:hint="default" w:ascii="Times New Roman" w:hAnsi="Times New Roman" w:eastAsia="仿宋_GB2312"/>
                <w:color w:val="000000"/>
                <w:kern w:val="0"/>
                <w:szCs w:val="21"/>
                <w:lang w:val="en-US" w:eastAsia="zh-CN"/>
              </w:rPr>
              <w:t>逾期不改正的</w:t>
            </w:r>
            <w:r>
              <w:rPr>
                <w:rFonts w:hint="eastAsia" w:ascii="Times New Roman" w:hAnsi="Times New Roman" w:eastAsia="仿宋_GB2312"/>
                <w:color w:val="000000"/>
                <w:kern w:val="0"/>
                <w:szCs w:val="21"/>
                <w:lang w:val="en-US" w:eastAsia="zh-CN"/>
              </w:rPr>
              <w:t>。</w:t>
            </w:r>
          </w:p>
          <w:p>
            <w:pPr>
              <w:snapToGrid w:val="0"/>
              <w:rPr>
                <w:rFonts w:ascii="Times New Roman" w:hAnsi="Times New Roman" w:eastAsia="仿宋_GB2312"/>
                <w:color w:val="000000"/>
                <w:kern w:val="0"/>
                <w:szCs w:val="21"/>
              </w:rPr>
            </w:pPr>
          </w:p>
        </w:tc>
        <w:tc>
          <w:tcPr>
            <w:tcW w:w="3797" w:type="dxa"/>
            <w:vMerge w:val="restart"/>
            <w:tcBorders>
              <w:top w:val="single" w:color="auto" w:sz="12" w:space="0"/>
            </w:tcBorders>
            <w:noWrap w:val="0"/>
            <w:vAlign w:val="center"/>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微软雅黑" w:hAnsi="微软雅黑" w:eastAsia="微软雅黑" w:cs="微软雅黑"/>
                <w:i w:val="0"/>
                <w:caps w:val="0"/>
                <w:color w:val="333333"/>
                <w:spacing w:val="0"/>
                <w:sz w:val="28"/>
                <w:szCs w:val="28"/>
              </w:rPr>
            </w:pPr>
            <w:r>
              <w:rPr>
                <w:rFonts w:hint="eastAsia" w:ascii="Times New Roman" w:hAnsi="Times New Roman" w:eastAsia="仿宋_GB2312"/>
                <w:color w:val="000000"/>
                <w:kern w:val="0"/>
                <w:szCs w:val="21"/>
                <w:lang w:eastAsia="zh-CN"/>
              </w:rPr>
              <w:t>《海南省爱国卫生管理条例》（以下简称《条例》）</w:t>
            </w:r>
            <w:r>
              <w:rPr>
                <w:rFonts w:hint="default" w:ascii="Times New Roman" w:hAnsi="Times New Roman" w:eastAsia="仿宋_GB2312"/>
                <w:color w:val="000000"/>
                <w:kern w:val="0"/>
                <w:szCs w:val="21"/>
                <w:lang w:val="en-US" w:eastAsia="zh-CN"/>
              </w:rPr>
              <w:t>第十一条</w:t>
            </w:r>
            <w:r>
              <w:rPr>
                <w:rFonts w:hint="eastAsia" w:ascii="Times New Roman" w:hAnsi="Times New Roman" w:eastAsia="仿宋_GB2312"/>
                <w:color w:val="000000"/>
                <w:kern w:val="0"/>
                <w:szCs w:val="21"/>
                <w:lang w:val="en-US" w:eastAsia="zh-CN"/>
              </w:rPr>
              <w:t>第二款</w:t>
            </w:r>
            <w:r>
              <w:rPr>
                <w:rFonts w:hint="default" w:ascii="Times New Roman" w:hAnsi="Times New Roman" w:eastAsia="仿宋_GB2312"/>
                <w:color w:val="000000"/>
                <w:kern w:val="0"/>
                <w:szCs w:val="21"/>
                <w:lang w:val="en-US" w:eastAsia="zh-CN"/>
              </w:rPr>
              <w:t xml:space="preserve">   任何单位和个人都应当参加灭除病媒生物活动等爱国卫生专项治理活动。</w:t>
            </w:r>
          </w:p>
          <w:p>
            <w:pPr>
              <w:snapToGrid w:val="0"/>
              <w:rPr>
                <w:rFonts w:hint="eastAsia" w:ascii="Times New Roman" w:hAnsi="Times New Roman" w:eastAsia="仿宋_GB2312"/>
                <w:color w:val="000000"/>
                <w:kern w:val="0"/>
                <w:szCs w:val="21"/>
                <w:lang w:val="en-US" w:eastAsia="zh-CN"/>
              </w:rPr>
            </w:pP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依据条款：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《条例》</w:t>
            </w:r>
            <w:r>
              <w:rPr>
                <w:rFonts w:hint="default" w:ascii="Times New Roman" w:hAnsi="Times New Roman" w:eastAsia="仿宋_GB2312" w:cs="Times New Roman"/>
                <w:color w:val="000000"/>
                <w:kern w:val="0"/>
                <w:szCs w:val="21"/>
                <w:lang w:val="en-US" w:eastAsia="zh-CN"/>
              </w:rPr>
              <w:t xml:space="preserve">第三十四条 </w:t>
            </w:r>
            <w:r>
              <w:rPr>
                <w:rFonts w:hint="eastAsia" w:ascii="Times New Roman" w:hAnsi="Times New Roman" w:eastAsia="仿宋_GB2312" w:cs="Times New Roman"/>
                <w:color w:val="000000"/>
                <w:kern w:val="0"/>
                <w:szCs w:val="21"/>
                <w:lang w:val="en-US" w:eastAsia="zh-CN"/>
              </w:rPr>
              <w:t xml:space="preserve">第（一）项 </w:t>
            </w:r>
            <w:r>
              <w:rPr>
                <w:rFonts w:hint="default" w:ascii="Times New Roman" w:hAnsi="Times New Roman" w:eastAsia="仿宋_GB2312" w:cs="Times New Roman"/>
                <w:color w:val="000000"/>
                <w:kern w:val="0"/>
                <w:szCs w:val="21"/>
                <w:lang w:val="en-US" w:eastAsia="zh-CN"/>
              </w:rPr>
              <w:t> 违反本条例，有下列行为之一的，</w:t>
            </w:r>
            <w:r>
              <w:rPr>
                <w:rFonts w:hint="default" w:ascii="Times New Roman" w:hAnsi="Times New Roman" w:eastAsia="仿宋_GB2312" w:cs="Times New Roman"/>
                <w:color w:val="auto"/>
                <w:kern w:val="0"/>
                <w:szCs w:val="21"/>
                <w:lang w:val="en-US" w:eastAsia="zh-CN"/>
              </w:rPr>
              <w:t>由爱卫会办事机构责令限期改正；逾期不改正的，由市、县、自治县综合行政执法机构对单位处五百元以上二千元以下罚款；</w:t>
            </w:r>
            <w:r>
              <w:rPr>
                <w:rFonts w:hint="default" w:ascii="Times New Roman" w:hAnsi="Times New Roman" w:eastAsia="仿宋_GB2312" w:cs="Times New Roman"/>
                <w:color w:val="000000"/>
                <w:kern w:val="0"/>
                <w:szCs w:val="21"/>
                <w:lang w:val="en-US" w:eastAsia="zh-CN"/>
              </w:rPr>
              <w:t>对个人处以五十元以上五百元以下罚款：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lang w:val="en-US" w:eastAsia="zh-CN"/>
              </w:rPr>
              <w:t>    （一）无正当理由，不参加灭除病媒生物活动等爱国卫生专项治理活动的；</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lang w:val="en-US" w:eastAsia="zh-CN"/>
              </w:rPr>
              <w:t xml:space="preserve">    </w:t>
            </w:r>
          </w:p>
          <w:p>
            <w:pPr>
              <w:snapToGrid w:val="0"/>
              <w:rPr>
                <w:rFonts w:ascii="Times New Roman" w:hAnsi="Times New Roman" w:eastAsia="仿宋_GB2312"/>
                <w:color w:val="000000"/>
                <w:kern w:val="0"/>
                <w:szCs w:val="21"/>
              </w:rPr>
            </w:pPr>
          </w:p>
        </w:tc>
        <w:tc>
          <w:tcPr>
            <w:tcW w:w="814"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pPr>
            <w:r>
              <w:rPr>
                <w:rFonts w:ascii="Times New Roman" w:hAnsi="Times New Roman" w:eastAsia="仿宋_GB2312"/>
                <w:color w:val="000000"/>
                <w:kern w:val="0"/>
                <w:szCs w:val="21"/>
              </w:rPr>
              <w:t>罚款。</w:t>
            </w:r>
          </w:p>
        </w:tc>
        <w:tc>
          <w:tcPr>
            <w:tcW w:w="3327" w:type="dxa"/>
            <w:noWrap w:val="0"/>
            <w:vAlign w:val="center"/>
          </w:tcPr>
          <w:p>
            <w:pPr>
              <w:snapToGrid w:val="0"/>
              <w:rPr>
                <w:rFonts w:hint="eastAsia" w:eastAsia="仿宋_GB2312"/>
                <w:lang w:eastAsia="zh-CN"/>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未完全改正，</w:t>
            </w:r>
            <w:r>
              <w:rPr>
                <w:rFonts w:ascii="Times New Roman" w:hAnsi="Times New Roman" w:eastAsia="仿宋_GB2312"/>
                <w:color w:val="000000"/>
                <w:kern w:val="0"/>
                <w:szCs w:val="21"/>
              </w:rPr>
              <w:t>能主动配合</w:t>
            </w:r>
            <w:r>
              <w:rPr>
                <w:rFonts w:hint="eastAsia" w:ascii="Times New Roman" w:hAnsi="Times New Roman" w:eastAsia="仿宋_GB2312"/>
                <w:color w:val="000000"/>
                <w:kern w:val="0"/>
                <w:szCs w:val="21"/>
                <w:lang w:eastAsia="zh-CN"/>
              </w:rPr>
              <w:t>综合</w:t>
            </w:r>
            <w:r>
              <w:rPr>
                <w:rFonts w:ascii="Times New Roman" w:hAnsi="Times New Roman" w:eastAsia="仿宋_GB2312"/>
                <w:color w:val="000000"/>
                <w:kern w:val="0"/>
                <w:szCs w:val="21"/>
              </w:rPr>
              <w:t>行政执法人员查处的</w:t>
            </w:r>
            <w:r>
              <w:rPr>
                <w:rFonts w:hint="eastAsia" w:ascii="Times New Roman" w:hAnsi="Times New Roman" w:eastAsia="仿宋_GB2312"/>
                <w:color w:val="000000"/>
                <w:kern w:val="0"/>
                <w:szCs w:val="21"/>
                <w:lang w:eastAsia="zh-CN"/>
              </w:rPr>
              <w:t>。</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对单位：处以五百元以上八百元以下罚款；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对个人：处以五十元以上一百五十元以下罚款。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noWrap w:val="0"/>
            <w:vAlign w:val="center"/>
          </w:tcPr>
          <w:p>
            <w:pPr>
              <w:snapToGrid w:val="0"/>
              <w:rPr>
                <w:rFonts w:ascii="Times New Roman" w:hAnsi="Times New Roman" w:eastAsia="仿宋_GB2312"/>
                <w:color w:val="000000"/>
                <w:kern w:val="0"/>
                <w:szCs w:val="21"/>
              </w:rPr>
            </w:pPr>
          </w:p>
        </w:tc>
        <w:tc>
          <w:tcPr>
            <w:tcW w:w="3797" w:type="dxa"/>
            <w:vMerge w:val="continue"/>
            <w:noWrap w:val="0"/>
            <w:vAlign w:val="center"/>
          </w:tcPr>
          <w:p>
            <w:pPr>
              <w:snapToGrid w:val="0"/>
              <w:rPr>
                <w:rFonts w:ascii="Times New Roman" w:hAnsi="Times New Roman" w:eastAsia="仿宋_GB2312"/>
                <w:color w:val="000000"/>
                <w:kern w:val="0"/>
                <w:szCs w:val="21"/>
              </w:rPr>
            </w:pPr>
          </w:p>
        </w:tc>
        <w:tc>
          <w:tcPr>
            <w:tcW w:w="814" w:type="dxa"/>
            <w:vMerge w:val="continue"/>
            <w:tcBorders/>
            <w:noWrap w:val="0"/>
            <w:vAlign w:val="center"/>
          </w:tcPr>
          <w:p>
            <w:pPr>
              <w:snapToGrid w:val="0"/>
              <w:rPr>
                <w:rFonts w:ascii="Times New Roman" w:hAnsi="Times New Roman" w:eastAsia="仿宋_GB2312"/>
                <w:color w:val="000000"/>
                <w:kern w:val="0"/>
                <w:szCs w:val="21"/>
              </w:rPr>
            </w:pP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正，或</w:t>
            </w:r>
            <w:r>
              <w:rPr>
                <w:rFonts w:ascii="Times New Roman" w:hAnsi="Times New Roman" w:eastAsia="仿宋_GB2312"/>
                <w:color w:val="000000"/>
                <w:kern w:val="0"/>
                <w:szCs w:val="21"/>
              </w:rPr>
              <w:t>不配合</w:t>
            </w:r>
            <w:r>
              <w:rPr>
                <w:rFonts w:hint="eastAsia" w:ascii="Times New Roman" w:hAnsi="Times New Roman" w:eastAsia="仿宋_GB2312"/>
                <w:color w:val="000000"/>
                <w:kern w:val="0"/>
                <w:szCs w:val="21"/>
                <w:lang w:eastAsia="zh-CN"/>
              </w:rPr>
              <w:t>综合</w:t>
            </w:r>
            <w:r>
              <w:rPr>
                <w:rFonts w:ascii="Times New Roman" w:hAnsi="Times New Roman" w:eastAsia="仿宋_GB2312"/>
                <w:color w:val="000000"/>
                <w:kern w:val="0"/>
                <w:szCs w:val="21"/>
              </w:rPr>
              <w:t>行政执法人员查处的。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对单位：处以八百元以上一千二百元以下罚款；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对个人：处以一百五十元以上二百五十元以下罚款。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noWrap w:val="0"/>
            <w:vAlign w:val="center"/>
          </w:tcPr>
          <w:p>
            <w:pPr>
              <w:snapToGrid w:val="0"/>
              <w:rPr>
                <w:rFonts w:ascii="Times New Roman" w:hAnsi="Times New Roman" w:eastAsia="仿宋_GB2312"/>
                <w:color w:val="000000"/>
                <w:kern w:val="0"/>
                <w:szCs w:val="21"/>
              </w:rPr>
            </w:pPr>
          </w:p>
        </w:tc>
        <w:tc>
          <w:tcPr>
            <w:tcW w:w="379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w:t>
            </w:r>
            <w:r>
              <w:rPr>
                <w:rFonts w:ascii="Times New Roman" w:hAnsi="Times New Roman" w:eastAsia="仿宋_GB2312"/>
                <w:color w:val="000000"/>
                <w:kern w:val="0"/>
                <w:szCs w:val="21"/>
              </w:rPr>
              <w:t>造成</w:t>
            </w:r>
            <w:r>
              <w:rPr>
                <w:rFonts w:hint="eastAsia" w:ascii="Times New Roman" w:hAnsi="Times New Roman" w:eastAsia="仿宋_GB2312"/>
                <w:color w:val="000000"/>
                <w:kern w:val="0"/>
                <w:szCs w:val="21"/>
                <w:lang w:val="en-US" w:eastAsia="zh-CN"/>
              </w:rPr>
              <w:t>1</w:t>
            </w:r>
            <w:r>
              <w:rPr>
                <w:rFonts w:hint="eastAsia" w:ascii="Times New Roman" w:hAnsi="Times New Roman" w:eastAsia="仿宋_GB2312"/>
                <w:color w:val="000000"/>
                <w:kern w:val="0"/>
                <w:szCs w:val="21"/>
                <w:lang w:eastAsia="zh-CN"/>
              </w:rPr>
              <w:t>类病媒生物密度控制水平超标，或其他</w:t>
            </w:r>
            <w:r>
              <w:rPr>
                <w:rFonts w:ascii="Times New Roman" w:hAnsi="Times New Roman" w:eastAsia="仿宋_GB2312"/>
                <w:color w:val="000000"/>
                <w:kern w:val="0"/>
                <w:szCs w:val="21"/>
              </w:rPr>
              <w:t>一定不良影响</w:t>
            </w:r>
            <w:r>
              <w:rPr>
                <w:rFonts w:hint="eastAsia" w:ascii="Times New Roman" w:hAnsi="Times New Roman" w:eastAsia="仿宋_GB2312"/>
                <w:color w:val="000000"/>
                <w:kern w:val="0"/>
                <w:szCs w:val="21"/>
                <w:lang w:eastAsia="zh-CN"/>
              </w:rPr>
              <w:t>和</w:t>
            </w:r>
            <w:r>
              <w:rPr>
                <w:rFonts w:ascii="Times New Roman" w:hAnsi="Times New Roman" w:eastAsia="仿宋_GB2312"/>
                <w:color w:val="000000"/>
                <w:kern w:val="0"/>
                <w:szCs w:val="21"/>
              </w:rPr>
              <w:t>后果的。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对单位：处以一千二百元以上一千六百元以下罚款；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对个人：处以二百五十元以上三百五十元以下罚款。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4"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noWrap w:val="0"/>
            <w:vAlign w:val="center"/>
          </w:tcPr>
          <w:p>
            <w:pPr>
              <w:snapToGrid w:val="0"/>
              <w:rPr>
                <w:rFonts w:ascii="Times New Roman" w:hAnsi="Times New Roman" w:eastAsia="仿宋_GB2312"/>
                <w:color w:val="000000"/>
                <w:kern w:val="0"/>
                <w:szCs w:val="21"/>
              </w:rPr>
            </w:pPr>
          </w:p>
        </w:tc>
        <w:tc>
          <w:tcPr>
            <w:tcW w:w="3797" w:type="dxa"/>
            <w:vMerge w:val="continue"/>
            <w:noWrap w:val="0"/>
            <w:vAlign w:val="center"/>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w:t>
            </w:r>
            <w:r>
              <w:rPr>
                <w:rFonts w:ascii="Times New Roman" w:hAnsi="Times New Roman" w:eastAsia="仿宋_GB2312"/>
                <w:color w:val="000000"/>
                <w:kern w:val="0"/>
                <w:szCs w:val="21"/>
              </w:rPr>
              <w:t>造成</w:t>
            </w:r>
            <w:r>
              <w:rPr>
                <w:rFonts w:hint="eastAsia" w:ascii="Times New Roman" w:hAnsi="Times New Roman" w:eastAsia="仿宋_GB2312"/>
                <w:color w:val="000000"/>
                <w:kern w:val="0"/>
                <w:szCs w:val="21"/>
                <w:lang w:val="en-US" w:eastAsia="zh-CN"/>
              </w:rPr>
              <w:t>2</w:t>
            </w:r>
            <w:r>
              <w:rPr>
                <w:rFonts w:hint="eastAsia" w:ascii="Times New Roman" w:hAnsi="Times New Roman" w:eastAsia="仿宋_GB2312"/>
                <w:color w:val="000000"/>
                <w:kern w:val="0"/>
                <w:szCs w:val="21"/>
                <w:lang w:eastAsia="zh-CN"/>
              </w:rPr>
              <w:t>类以上病媒生物密度控制水平超标，或其他严重</w:t>
            </w:r>
            <w:r>
              <w:rPr>
                <w:rFonts w:ascii="Times New Roman" w:hAnsi="Times New Roman" w:eastAsia="仿宋_GB2312"/>
                <w:color w:val="000000"/>
                <w:kern w:val="0"/>
                <w:szCs w:val="21"/>
              </w:rPr>
              <w:t>不良影响</w:t>
            </w:r>
            <w:r>
              <w:rPr>
                <w:rFonts w:hint="eastAsia" w:ascii="Times New Roman" w:hAnsi="Times New Roman" w:eastAsia="仿宋_GB2312"/>
                <w:color w:val="000000"/>
                <w:kern w:val="0"/>
                <w:szCs w:val="21"/>
                <w:lang w:eastAsia="zh-CN"/>
              </w:rPr>
              <w:t>和</w:t>
            </w:r>
            <w:r>
              <w:rPr>
                <w:rFonts w:ascii="Times New Roman" w:hAnsi="Times New Roman" w:eastAsia="仿宋_GB2312"/>
                <w:color w:val="000000"/>
                <w:kern w:val="0"/>
                <w:szCs w:val="21"/>
              </w:rPr>
              <w:t>后果的。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对单位：处以一千六百元以上二千元以下罚款；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对个人：处以三百五十元以上五百元以下罚款。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24" w:hRule="atLeast"/>
          <w:jc w:val="center"/>
        </w:trPr>
        <w:tc>
          <w:tcPr>
            <w:tcW w:w="568" w:type="dxa"/>
            <w:vMerge w:val="restart"/>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2</w:t>
            </w:r>
          </w:p>
        </w:tc>
        <w:tc>
          <w:tcPr>
            <w:tcW w:w="1993" w:type="dxa"/>
            <w:vMerge w:val="restart"/>
            <w:noWrap w:val="0"/>
            <w:vAlign w:val="center"/>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微软雅黑" w:hAnsi="微软雅黑" w:eastAsia="微软雅黑" w:cs="微软雅黑"/>
                <w:i w:val="0"/>
                <w:caps w:val="0"/>
                <w:color w:val="333333"/>
                <w:spacing w:val="0"/>
                <w:sz w:val="28"/>
                <w:szCs w:val="28"/>
              </w:rPr>
            </w:pPr>
            <w:r>
              <w:rPr>
                <w:rFonts w:hint="default" w:ascii="Times New Roman" w:hAnsi="Times New Roman" w:eastAsia="仿宋_GB2312"/>
                <w:color w:val="000000"/>
                <w:kern w:val="0"/>
                <w:szCs w:val="21"/>
                <w:lang w:val="en-US" w:eastAsia="zh-CN"/>
              </w:rPr>
              <w:t>卫生责任区达不到国家和省卫生标准</w:t>
            </w: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w:t>
            </w:r>
            <w:r>
              <w:rPr>
                <w:rFonts w:hint="eastAsia" w:ascii="Times New Roman" w:hAnsi="Times New Roman" w:eastAsia="仿宋_GB2312"/>
                <w:color w:val="000000"/>
                <w:kern w:val="0"/>
                <w:szCs w:val="21"/>
                <w:lang w:val="en-US" w:eastAsia="zh-CN"/>
              </w:rPr>
              <w:t>，</w:t>
            </w:r>
            <w:r>
              <w:rPr>
                <w:rFonts w:hint="default" w:ascii="Times New Roman" w:hAnsi="Times New Roman" w:eastAsia="仿宋_GB2312"/>
                <w:color w:val="000000"/>
                <w:kern w:val="0"/>
                <w:szCs w:val="21"/>
                <w:lang w:val="en-US" w:eastAsia="zh-CN"/>
              </w:rPr>
              <w:t>逾期不改正的</w:t>
            </w:r>
            <w:r>
              <w:rPr>
                <w:rFonts w:hint="eastAsia" w:ascii="Times New Roman" w:hAnsi="Times New Roman" w:eastAsia="仿宋_GB2312"/>
                <w:color w:val="000000"/>
                <w:kern w:val="0"/>
                <w:szCs w:val="21"/>
                <w:lang w:val="en-US" w:eastAsia="zh-CN"/>
              </w:rPr>
              <w:t>。</w:t>
            </w:r>
          </w:p>
          <w:p>
            <w:pPr>
              <w:snapToGrid w:val="0"/>
              <w:rPr>
                <w:rFonts w:ascii="Times New Roman" w:hAnsi="Times New Roman" w:eastAsia="仿宋_GB2312"/>
                <w:color w:val="000000"/>
                <w:kern w:val="0"/>
                <w:szCs w:val="21"/>
              </w:rPr>
            </w:pPr>
          </w:p>
        </w:tc>
        <w:tc>
          <w:tcPr>
            <w:tcW w:w="3797" w:type="dxa"/>
            <w:vMerge w:val="restart"/>
            <w:noWrap w:val="0"/>
            <w:vAlign w:val="center"/>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eastAsia" w:ascii="Times New Roman" w:hAnsi="Times New Roman" w:eastAsia="仿宋_GB2312"/>
                <w:color w:val="auto"/>
                <w:kern w:val="0"/>
                <w:szCs w:val="21"/>
                <w:lang w:eastAsia="zh-CN"/>
              </w:rPr>
            </w:pPr>
            <w:r>
              <w:rPr>
                <w:rFonts w:hint="eastAsia" w:ascii="Times New Roman" w:hAnsi="Times New Roman" w:eastAsia="仿宋_GB2312"/>
                <w:color w:val="auto"/>
                <w:kern w:val="0"/>
                <w:szCs w:val="21"/>
                <w:lang w:val="en-US" w:eastAsia="zh-CN"/>
              </w:rPr>
              <w:t>《条例》</w:t>
            </w:r>
            <w:r>
              <w:rPr>
                <w:rFonts w:hint="default" w:ascii="Times New Roman" w:hAnsi="Times New Roman" w:eastAsia="仿宋_GB2312"/>
                <w:color w:val="auto"/>
                <w:kern w:val="0"/>
                <w:szCs w:val="21"/>
                <w:lang w:val="en-US" w:eastAsia="zh-CN"/>
              </w:rPr>
              <w:t>第三条</w:t>
            </w:r>
            <w:r>
              <w:rPr>
                <w:rFonts w:hint="eastAsia" w:ascii="Times New Roman" w:hAnsi="Times New Roman" w:eastAsia="仿宋_GB2312"/>
                <w:color w:val="auto"/>
                <w:kern w:val="0"/>
                <w:szCs w:val="21"/>
                <w:lang w:val="en-US" w:eastAsia="zh-CN"/>
              </w:rPr>
              <w:t>第三款</w:t>
            </w:r>
            <w:r>
              <w:rPr>
                <w:rFonts w:hint="default" w:ascii="Times New Roman" w:hAnsi="Times New Roman" w:eastAsia="仿宋_GB2312"/>
                <w:color w:val="auto"/>
                <w:kern w:val="0"/>
                <w:szCs w:val="21"/>
                <w:lang w:val="en-US" w:eastAsia="zh-CN"/>
              </w:rPr>
              <w:t xml:space="preserve">  任何个人都应当自觉维护公共卫生和卫生设施，搞好工作场所、家庭卫生和室外环境卫生。</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default" w:ascii="微软雅黑" w:hAnsi="微软雅黑" w:eastAsia="微软雅黑" w:cs="微软雅黑"/>
                <w:i w:val="0"/>
                <w:caps w:val="0"/>
                <w:color w:val="auto"/>
                <w:spacing w:val="0"/>
                <w:sz w:val="28"/>
                <w:szCs w:val="28"/>
              </w:rPr>
            </w:pPr>
            <w:r>
              <w:rPr>
                <w:rFonts w:hint="eastAsia" w:ascii="Times New Roman" w:hAnsi="Times New Roman" w:eastAsia="仿宋_GB2312"/>
                <w:color w:val="auto"/>
                <w:kern w:val="0"/>
                <w:szCs w:val="21"/>
                <w:lang w:eastAsia="zh-CN"/>
              </w:rPr>
              <w:t>《条例》</w:t>
            </w:r>
            <w:r>
              <w:rPr>
                <w:rFonts w:hint="default" w:ascii="Times New Roman" w:hAnsi="Times New Roman" w:eastAsia="仿宋_GB2312"/>
                <w:color w:val="auto"/>
                <w:kern w:val="0"/>
                <w:szCs w:val="21"/>
                <w:lang w:val="en-US" w:eastAsia="zh-CN"/>
              </w:rPr>
              <w:t>第九条  实行单位卫生达标制度。各单位应当建立、健全卫生制度，对职工进行爱国卫生教育，开展爱国卫生活动，使本单位和指定区域内的卫生达到规定标准。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依据条款：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eastAsia="zh-CN"/>
              </w:rPr>
              <w:t>《条例》</w:t>
            </w:r>
            <w:r>
              <w:rPr>
                <w:rFonts w:hint="default" w:ascii="Times New Roman" w:hAnsi="Times New Roman" w:eastAsia="仿宋_GB2312"/>
                <w:color w:val="000000"/>
                <w:kern w:val="0"/>
                <w:szCs w:val="21"/>
                <w:lang w:val="en-US" w:eastAsia="zh-CN"/>
              </w:rPr>
              <w:t xml:space="preserve">第三十四条 </w:t>
            </w:r>
            <w:r>
              <w:rPr>
                <w:rFonts w:hint="eastAsia" w:ascii="Times New Roman" w:hAnsi="Times New Roman" w:eastAsia="仿宋_GB2312"/>
                <w:color w:val="000000"/>
                <w:kern w:val="0"/>
                <w:szCs w:val="21"/>
                <w:lang w:val="en-US" w:eastAsia="zh-CN"/>
              </w:rPr>
              <w:t xml:space="preserve">第（二）项 </w:t>
            </w:r>
            <w:r>
              <w:rPr>
                <w:rFonts w:hint="default" w:ascii="Times New Roman" w:hAnsi="Times New Roman" w:eastAsia="仿宋_GB2312"/>
                <w:color w:val="000000"/>
                <w:kern w:val="0"/>
                <w:szCs w:val="21"/>
                <w:lang w:val="en-US" w:eastAsia="zh-CN"/>
              </w:rPr>
              <w:t> 违反本条例，有下列行为之一的，由爱卫会办事机构责令限期改正；逾期不改正的，由市、县、自治县综合行政执法机构对单位处五百元以上二千元以下罚款；对个人处以五十元以上五百元以下罚款：（二）卫生责任区达不到国家和省卫生标准的。</w:t>
            </w:r>
          </w:p>
          <w:p>
            <w:pPr>
              <w:snapToGrid w:val="0"/>
              <w:rPr>
                <w:rFonts w:hint="eastAsia" w:ascii="Times New Roman" w:hAnsi="Times New Roman" w:eastAsia="仿宋_GB2312"/>
                <w:color w:val="000000"/>
                <w:kern w:val="0"/>
                <w:szCs w:val="21"/>
                <w:lang w:eastAsia="zh-CN"/>
              </w:rPr>
            </w:pP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微软雅黑" w:hAnsi="微软雅黑" w:eastAsia="微软雅黑" w:cs="微软雅黑"/>
                <w:i w:val="0"/>
                <w:caps w:val="0"/>
                <w:color w:val="333333"/>
                <w:spacing w:val="0"/>
                <w:sz w:val="28"/>
                <w:szCs w:val="28"/>
              </w:rPr>
            </w:pPr>
          </w:p>
          <w:p>
            <w:pPr>
              <w:snapToGrid w:val="0"/>
              <w:rPr>
                <w:rFonts w:ascii="Times New Roman" w:hAnsi="Times New Roman" w:eastAsia="仿宋_GB2312"/>
                <w:color w:val="000000"/>
                <w:kern w:val="0"/>
                <w:szCs w:val="21"/>
              </w:rPr>
            </w:pPr>
          </w:p>
        </w:tc>
        <w:tc>
          <w:tcPr>
            <w:tcW w:w="814"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违法</w:t>
            </w:r>
          </w:p>
        </w:tc>
        <w:tc>
          <w:tcPr>
            <w:tcW w:w="1559" w:type="dxa"/>
            <w:noWrap w:val="0"/>
            <w:vAlign w:val="center"/>
          </w:tcPr>
          <w:p>
            <w:pPr>
              <w:snapToGrid w:val="0"/>
              <w:rPr>
                <w:rFonts w:eastAsia="宋体"/>
                <w:kern w:val="2"/>
                <w:sz w:val="21"/>
                <w:lang w:val="en-US" w:eastAsia="zh-CN"/>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未完全改正，</w:t>
            </w:r>
            <w:r>
              <w:rPr>
                <w:rFonts w:ascii="Times New Roman" w:hAnsi="Times New Roman" w:eastAsia="仿宋_GB2312"/>
                <w:color w:val="000000"/>
                <w:kern w:val="0"/>
                <w:szCs w:val="21"/>
              </w:rPr>
              <w:t>能主动配合</w:t>
            </w:r>
            <w:r>
              <w:rPr>
                <w:rFonts w:hint="eastAsia" w:ascii="Times New Roman" w:hAnsi="Times New Roman" w:eastAsia="仿宋_GB2312"/>
                <w:color w:val="000000"/>
                <w:kern w:val="0"/>
                <w:szCs w:val="21"/>
                <w:lang w:eastAsia="zh-CN"/>
              </w:rPr>
              <w:t>综合</w:t>
            </w:r>
            <w:r>
              <w:rPr>
                <w:rFonts w:ascii="Times New Roman" w:hAnsi="Times New Roman" w:eastAsia="仿宋_GB2312"/>
                <w:color w:val="000000"/>
                <w:kern w:val="0"/>
                <w:szCs w:val="21"/>
              </w:rPr>
              <w:t>行政执法人员查处的</w:t>
            </w:r>
            <w:r>
              <w:rPr>
                <w:rFonts w:hint="eastAsia" w:ascii="Times New Roman" w:hAnsi="Times New Roman" w:eastAsia="仿宋_GB2312"/>
                <w:color w:val="000000"/>
                <w:kern w:val="0"/>
                <w:szCs w:val="21"/>
                <w:lang w:eastAsia="zh-CN"/>
              </w:rPr>
              <w:t>。</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对单位：处以五百元以上八百元以下罚款；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对个人：处以五十元以上一百五十元以下罚款。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9" w:hRule="atLeast"/>
          <w:jc w:val="center"/>
        </w:trPr>
        <w:tc>
          <w:tcPr>
            <w:tcW w:w="568" w:type="dxa"/>
            <w:vMerge w:val="continue"/>
            <w:noWrap w:val="0"/>
            <w:vAlign w:val="center"/>
          </w:tcPr>
          <w:p>
            <w:pPr>
              <w:snapToGrid w:val="0"/>
              <w:rPr>
                <w:rFonts w:ascii="Times New Roman" w:hAnsi="Times New Roman" w:eastAsia="仿宋_GB2312"/>
                <w:color w:val="000000"/>
                <w:kern w:val="0"/>
                <w:szCs w:val="21"/>
              </w:rPr>
            </w:pPr>
          </w:p>
        </w:tc>
        <w:tc>
          <w:tcPr>
            <w:tcW w:w="1993" w:type="dxa"/>
            <w:vMerge w:val="continue"/>
            <w:noWrap w:val="0"/>
            <w:vAlign w:val="center"/>
          </w:tcPr>
          <w:p>
            <w:pPr>
              <w:snapToGrid w:val="0"/>
              <w:rPr>
                <w:rFonts w:ascii="Times New Roman" w:hAnsi="Times New Roman" w:eastAsia="仿宋_GB2312"/>
                <w:color w:val="000000"/>
                <w:kern w:val="0"/>
                <w:szCs w:val="21"/>
              </w:rPr>
            </w:pPr>
          </w:p>
        </w:tc>
        <w:tc>
          <w:tcPr>
            <w:tcW w:w="3797" w:type="dxa"/>
            <w:vMerge w:val="continue"/>
            <w:noWrap w:val="0"/>
            <w:vAlign w:val="center"/>
          </w:tcPr>
          <w:p>
            <w:pPr>
              <w:snapToGrid w:val="0"/>
              <w:rPr>
                <w:rFonts w:ascii="Times New Roman" w:hAnsi="Times New Roman" w:eastAsia="仿宋_GB2312"/>
                <w:color w:val="000000"/>
                <w:kern w:val="0"/>
                <w:szCs w:val="21"/>
              </w:rPr>
            </w:pPr>
          </w:p>
        </w:tc>
        <w:tc>
          <w:tcPr>
            <w:tcW w:w="814" w:type="dxa"/>
            <w:vMerge w:val="continue"/>
            <w:tcBorders/>
            <w:noWrap w:val="0"/>
            <w:vAlign w:val="center"/>
          </w:tcPr>
          <w:p>
            <w:pPr>
              <w:snapToGrid w:val="0"/>
              <w:rPr>
                <w:rFonts w:ascii="Times New Roman" w:hAnsi="Times New Roman" w:eastAsia="仿宋_GB2312"/>
                <w:color w:val="000000"/>
                <w:kern w:val="0"/>
                <w:sz w:val="21"/>
                <w:szCs w:val="21"/>
                <w:lang w:val="en-US" w:eastAsia="zh-CN"/>
              </w:rPr>
            </w:pP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正，或</w:t>
            </w:r>
            <w:r>
              <w:rPr>
                <w:rFonts w:ascii="Times New Roman" w:hAnsi="Times New Roman" w:eastAsia="仿宋_GB2312"/>
                <w:color w:val="000000"/>
                <w:kern w:val="0"/>
                <w:szCs w:val="21"/>
              </w:rPr>
              <w:t>不配合</w:t>
            </w:r>
            <w:r>
              <w:rPr>
                <w:rFonts w:hint="eastAsia" w:ascii="Times New Roman" w:hAnsi="Times New Roman" w:eastAsia="仿宋_GB2312"/>
                <w:color w:val="000000"/>
                <w:kern w:val="0"/>
                <w:szCs w:val="21"/>
                <w:lang w:eastAsia="zh-CN"/>
              </w:rPr>
              <w:t>综合</w:t>
            </w:r>
            <w:r>
              <w:rPr>
                <w:rFonts w:ascii="Times New Roman" w:hAnsi="Times New Roman" w:eastAsia="仿宋_GB2312"/>
                <w:color w:val="000000"/>
                <w:kern w:val="0"/>
                <w:szCs w:val="21"/>
              </w:rPr>
              <w:t>行政执法人员查处的。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对单位：处以八百元以上一千二百元以下罚款；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对个人：处以一百五十元以上二百五十元以下罚款。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正，造成</w:t>
            </w:r>
            <w:r>
              <w:rPr>
                <w:rFonts w:ascii="Times New Roman" w:hAnsi="Times New Roman" w:eastAsia="仿宋_GB2312"/>
                <w:color w:val="000000"/>
                <w:kern w:val="0"/>
                <w:szCs w:val="21"/>
              </w:rPr>
              <w:t>一定不良影响</w:t>
            </w:r>
            <w:r>
              <w:rPr>
                <w:rFonts w:hint="eastAsia" w:ascii="Times New Roman" w:hAnsi="Times New Roman" w:eastAsia="仿宋_GB2312"/>
                <w:color w:val="000000"/>
                <w:kern w:val="0"/>
                <w:szCs w:val="21"/>
                <w:lang w:eastAsia="zh-CN"/>
              </w:rPr>
              <w:t>和</w:t>
            </w:r>
            <w:r>
              <w:rPr>
                <w:rFonts w:ascii="Times New Roman" w:hAnsi="Times New Roman" w:eastAsia="仿宋_GB2312"/>
                <w:color w:val="000000"/>
                <w:kern w:val="0"/>
                <w:szCs w:val="21"/>
              </w:rPr>
              <w:t>后果的。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对单位：处以一千二百元以上一千六百元以下罚款；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对个人：处以二百五十元以上三百五十元以下罚款。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7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违法</w:t>
            </w:r>
          </w:p>
        </w:tc>
        <w:tc>
          <w:tcPr>
            <w:tcW w:w="1559" w:type="dxa"/>
            <w:noWrap w:val="0"/>
            <w:vAlign w:val="center"/>
          </w:tcPr>
          <w:p>
            <w:pPr>
              <w:snapToGrid w:val="0"/>
              <w:rPr>
                <w:rFonts w:ascii="Times New Roman" w:hAnsi="Times New Roman" w:eastAsia="仿宋_GB2312"/>
                <w:color w:val="000000"/>
                <w:kern w:val="0"/>
                <w:sz w:val="21"/>
                <w:szCs w:val="21"/>
                <w:lang w:val="en-US" w:eastAsia="zh-CN"/>
              </w:rPr>
            </w:pPr>
            <w:r>
              <w:rPr>
                <w:rFonts w:ascii="Times New Roman" w:hAnsi="Times New Roman" w:eastAsia="仿宋_GB2312"/>
                <w:color w:val="000000"/>
                <w:kern w:val="0"/>
                <w:szCs w:val="21"/>
              </w:rPr>
              <w:t>罚款。</w:t>
            </w:r>
          </w:p>
        </w:tc>
        <w:tc>
          <w:tcPr>
            <w:tcW w:w="3327" w:type="dxa"/>
            <w:noWrap w:val="0"/>
            <w:vAlign w:val="center"/>
          </w:tcPr>
          <w:p>
            <w:pPr>
              <w:snapToGrid w:val="0"/>
              <w:rPr>
                <w:rFonts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经</w:t>
            </w:r>
            <w:r>
              <w:rPr>
                <w:rFonts w:hint="default" w:ascii="Times New Roman" w:hAnsi="Times New Roman" w:eastAsia="仿宋_GB2312"/>
                <w:color w:val="000000"/>
                <w:kern w:val="0"/>
                <w:szCs w:val="21"/>
                <w:lang w:val="en-US" w:eastAsia="zh-CN"/>
              </w:rPr>
              <w:t>爱卫会办事机构责令限期改正逾期</w:t>
            </w:r>
            <w:r>
              <w:rPr>
                <w:rFonts w:hint="eastAsia" w:ascii="Times New Roman" w:hAnsi="Times New Roman" w:eastAsia="仿宋_GB2312"/>
                <w:color w:val="000000"/>
                <w:kern w:val="0"/>
                <w:szCs w:val="21"/>
                <w:lang w:val="en-US" w:eastAsia="zh-CN"/>
              </w:rPr>
              <w:t>拒</w:t>
            </w:r>
            <w:r>
              <w:rPr>
                <w:rFonts w:hint="default" w:ascii="Times New Roman" w:hAnsi="Times New Roman" w:eastAsia="仿宋_GB2312"/>
                <w:color w:val="000000"/>
                <w:kern w:val="0"/>
                <w:szCs w:val="21"/>
                <w:lang w:val="en-US" w:eastAsia="zh-CN"/>
              </w:rPr>
              <w:t>不改</w:t>
            </w:r>
            <w:r>
              <w:rPr>
                <w:rFonts w:hint="eastAsia" w:ascii="Times New Roman" w:hAnsi="Times New Roman" w:eastAsia="仿宋_GB2312"/>
                <w:color w:val="000000"/>
                <w:kern w:val="0"/>
                <w:szCs w:val="21"/>
                <w:lang w:val="en-US" w:eastAsia="zh-CN"/>
              </w:rPr>
              <w:t>正，造成个体健康损害或人间传染病、常见病传播流行，或其他</w:t>
            </w:r>
            <w:r>
              <w:rPr>
                <w:rFonts w:hint="eastAsia" w:ascii="Times New Roman" w:hAnsi="Times New Roman" w:eastAsia="仿宋_GB2312"/>
                <w:color w:val="000000"/>
                <w:kern w:val="0"/>
                <w:szCs w:val="21"/>
                <w:lang w:eastAsia="zh-CN"/>
              </w:rPr>
              <w:t>严重</w:t>
            </w:r>
            <w:r>
              <w:rPr>
                <w:rFonts w:ascii="Times New Roman" w:hAnsi="Times New Roman" w:eastAsia="仿宋_GB2312"/>
                <w:color w:val="000000"/>
                <w:kern w:val="0"/>
                <w:szCs w:val="21"/>
              </w:rPr>
              <w:t>不良影响</w:t>
            </w:r>
            <w:r>
              <w:rPr>
                <w:rFonts w:hint="eastAsia" w:ascii="Times New Roman" w:hAnsi="Times New Roman" w:eastAsia="仿宋_GB2312"/>
                <w:color w:val="000000"/>
                <w:kern w:val="0"/>
                <w:szCs w:val="21"/>
                <w:lang w:eastAsia="zh-CN"/>
              </w:rPr>
              <w:t>和</w:t>
            </w:r>
            <w:r>
              <w:rPr>
                <w:rFonts w:ascii="Times New Roman" w:hAnsi="Times New Roman" w:eastAsia="仿宋_GB2312"/>
                <w:color w:val="000000"/>
                <w:kern w:val="0"/>
                <w:szCs w:val="21"/>
              </w:rPr>
              <w:t>后果的。</w:t>
            </w:r>
          </w:p>
        </w:tc>
        <w:tc>
          <w:tcPr>
            <w:tcW w:w="2688" w:type="dxa"/>
            <w:noWrap w:val="0"/>
            <w:vAlign w:val="center"/>
          </w:tcPr>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对单位：处以一千六百元以上二千元以下罚款；</w:t>
            </w:r>
          </w:p>
          <w:p>
            <w:p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对个人：处以三百五十元以上五百元以下罚款。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568" w:type="dxa"/>
            <w:vMerge w:val="restart"/>
            <w:noWrap w:val="0"/>
            <w:vAlign w:val="center"/>
          </w:tcPr>
          <w:p>
            <w:pPr>
              <w:snapToGrid w:val="0"/>
              <w:jc w:val="center"/>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4</w:t>
            </w:r>
          </w:p>
        </w:tc>
        <w:tc>
          <w:tcPr>
            <w:tcW w:w="1993" w:type="dxa"/>
            <w:vMerge w:val="restart"/>
            <w:noWrap w:val="0"/>
            <w:vAlign w:val="top"/>
          </w:tcPr>
          <w:p>
            <w:pPr>
              <w:snapToGrid w:val="0"/>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在室内公共场所和公共交通工具内以及学校、幼儿园、医疗卫生机构等禁止吸烟场所吸烟（含电子烟）的</w:t>
            </w:r>
            <w:r>
              <w:rPr>
                <w:rFonts w:hint="eastAsia" w:ascii="Times New Roman" w:hAnsi="Times New Roman" w:eastAsia="仿宋_GB2312"/>
                <w:color w:val="000000"/>
                <w:kern w:val="0"/>
                <w:szCs w:val="21"/>
                <w:lang w:val="en-US" w:eastAsia="zh-CN"/>
              </w:rPr>
              <w:t>。</w:t>
            </w:r>
          </w:p>
        </w:tc>
        <w:tc>
          <w:tcPr>
            <w:tcW w:w="3797" w:type="dxa"/>
            <w:vMerge w:val="restart"/>
            <w:noWrap w:val="0"/>
            <w:vAlign w:val="top"/>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违法条款：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default" w:ascii="Times New Roman" w:hAnsi="Times New Roman" w:eastAsia="仿宋_GB2312"/>
                <w:color w:val="auto"/>
                <w:kern w:val="0"/>
                <w:szCs w:val="21"/>
                <w:lang w:eastAsia="zh-CN"/>
              </w:rPr>
            </w:pPr>
            <w:r>
              <w:rPr>
                <w:rFonts w:hint="eastAsia" w:ascii="Times New Roman" w:hAnsi="Times New Roman" w:eastAsia="仿宋_GB2312"/>
                <w:color w:val="000000"/>
                <w:kern w:val="0"/>
                <w:szCs w:val="21"/>
                <w:lang w:val="en-US" w:eastAsia="zh-CN"/>
              </w:rPr>
              <w:t>《</w:t>
            </w:r>
            <w:r>
              <w:rPr>
                <w:rFonts w:hint="default" w:ascii="Times New Roman" w:hAnsi="Times New Roman" w:eastAsia="仿宋_GB2312"/>
                <w:color w:val="000000"/>
                <w:kern w:val="0"/>
                <w:szCs w:val="21"/>
                <w:lang w:val="en-US" w:eastAsia="zh-CN"/>
              </w:rPr>
              <w:t>条例</w:t>
            </w:r>
            <w:r>
              <w:rPr>
                <w:rFonts w:hint="eastAsia" w:ascii="Times New Roman" w:hAnsi="Times New Roman" w:eastAsia="仿宋_GB2312"/>
                <w:color w:val="000000"/>
                <w:kern w:val="0"/>
                <w:szCs w:val="21"/>
                <w:lang w:val="en-US" w:eastAsia="zh-CN"/>
              </w:rPr>
              <w:t>》</w:t>
            </w:r>
            <w:r>
              <w:rPr>
                <w:rFonts w:hint="default" w:ascii="Times New Roman" w:hAnsi="Times New Roman" w:eastAsia="仿宋_GB2312"/>
                <w:color w:val="000000"/>
                <w:kern w:val="0"/>
                <w:szCs w:val="21"/>
                <w:lang w:val="en-US" w:eastAsia="zh-CN"/>
              </w:rPr>
              <w:t>第十八条第一款</w:t>
            </w:r>
            <w:r>
              <w:rPr>
                <w:rFonts w:hint="eastAsia" w:ascii="Times New Roman" w:hAnsi="Times New Roman" w:eastAsia="仿宋_GB2312"/>
                <w:color w:val="000000"/>
                <w:kern w:val="0"/>
                <w:szCs w:val="21"/>
                <w:lang w:val="en-US" w:eastAsia="zh-CN"/>
              </w:rPr>
              <w:t xml:space="preserve">  </w:t>
            </w:r>
            <w:r>
              <w:rPr>
                <w:rFonts w:hint="default" w:ascii="Times New Roman" w:hAnsi="Times New Roman" w:eastAsia="仿宋_GB2312"/>
                <w:color w:val="000000"/>
                <w:kern w:val="0"/>
                <w:szCs w:val="21"/>
                <w:lang w:val="en-US" w:eastAsia="zh-CN"/>
              </w:rPr>
              <w:t>禁止在室内公共场所和公共交通工具内以及学校、幼儿园、医疗卫生机构等特殊场所吸烟（含电子烟）。</w:t>
            </w:r>
            <w:r>
              <w:rPr>
                <w:rFonts w:hint="default" w:ascii="Times New Roman" w:hAnsi="Times New Roman" w:eastAsia="仿宋_GB2312"/>
                <w:color w:val="auto"/>
                <w:kern w:val="0"/>
                <w:szCs w:val="21"/>
                <w:lang w:val="en-US" w:eastAsia="zh-CN"/>
              </w:rPr>
              <w:t>室外公共场所设置的吸烟区不得位于行人必经的通道上。</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val="en-US" w:eastAsia="zh-CN"/>
              </w:rPr>
            </w:pP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依据条款：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default" w:ascii="微软雅黑" w:hAnsi="微软雅黑" w:eastAsia="微软雅黑" w:cs="微软雅黑"/>
                <w:i w:val="0"/>
                <w:caps w:val="0"/>
                <w:color w:val="333333"/>
                <w:spacing w:val="0"/>
                <w:sz w:val="28"/>
                <w:szCs w:val="28"/>
              </w:rPr>
            </w:pPr>
            <w:r>
              <w:rPr>
                <w:rFonts w:hint="eastAsia" w:ascii="Times New Roman" w:hAnsi="Times New Roman" w:eastAsia="仿宋_GB2312"/>
                <w:color w:val="000000"/>
                <w:kern w:val="0"/>
                <w:szCs w:val="21"/>
                <w:lang w:val="en-US" w:eastAsia="zh-CN"/>
              </w:rPr>
              <w:t>《条例》</w:t>
            </w:r>
            <w:r>
              <w:rPr>
                <w:rFonts w:hint="default" w:ascii="Times New Roman" w:hAnsi="Times New Roman" w:eastAsia="仿宋_GB2312"/>
                <w:color w:val="000000"/>
                <w:kern w:val="0"/>
                <w:szCs w:val="21"/>
                <w:lang w:val="en-US" w:eastAsia="zh-CN"/>
              </w:rPr>
              <w:t>第三十六条</w:t>
            </w:r>
            <w:r>
              <w:rPr>
                <w:rFonts w:hint="eastAsia" w:ascii="Times New Roman" w:hAnsi="Times New Roman" w:eastAsia="仿宋_GB2312"/>
                <w:color w:val="000000"/>
                <w:kern w:val="0"/>
                <w:szCs w:val="21"/>
                <w:lang w:val="en-US" w:eastAsia="zh-CN"/>
              </w:rPr>
              <w:t>第一款</w:t>
            </w:r>
            <w:r>
              <w:rPr>
                <w:rFonts w:hint="default" w:ascii="Times New Roman" w:hAnsi="Times New Roman" w:eastAsia="仿宋_GB2312"/>
                <w:color w:val="000000"/>
                <w:kern w:val="0"/>
                <w:szCs w:val="21"/>
                <w:lang w:val="en-US" w:eastAsia="zh-CN"/>
              </w:rPr>
              <w:t xml:space="preserve">  违反本条例第十八条第一款规定，在禁止吸烟场所吸烟的，由市、县、自治县综合行政执法机构给予批评教育，责令改正，并处五十元罚款；拒不改正的，处二百元以上五百元以下罚款。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default" w:ascii="微软雅黑" w:hAnsi="微软雅黑" w:eastAsia="微软雅黑" w:cs="微软雅黑"/>
                <w:i w:val="0"/>
                <w:caps w:val="0"/>
                <w:color w:val="333333"/>
                <w:spacing w:val="0"/>
                <w:sz w:val="28"/>
                <w:szCs w:val="28"/>
              </w:rPr>
            </w:pPr>
            <w:r>
              <w:rPr>
                <w:rFonts w:hint="default" w:ascii="微软雅黑" w:hAnsi="微软雅黑" w:eastAsia="微软雅黑" w:cs="微软雅黑"/>
                <w:i w:val="0"/>
                <w:caps w:val="0"/>
                <w:color w:val="333333"/>
                <w:spacing w:val="0"/>
                <w:kern w:val="0"/>
                <w:sz w:val="28"/>
                <w:szCs w:val="28"/>
                <w:shd w:val="clear" w:color="auto" w:fill="FFFFFF"/>
                <w:lang w:val="en-US" w:eastAsia="zh-CN" w:bidi="ar"/>
              </w:rPr>
              <w:t xml:space="preserve">    </w:t>
            </w:r>
          </w:p>
          <w:p>
            <w:pPr>
              <w:snapToGrid w:val="0"/>
              <w:rPr>
                <w:rFonts w:ascii="Times New Roman" w:hAnsi="Times New Roman" w:eastAsia="仿宋_GB2312"/>
                <w:color w:val="000000"/>
                <w:kern w:val="0"/>
                <w:szCs w:val="21"/>
              </w:rPr>
            </w:pPr>
          </w:p>
        </w:tc>
        <w:tc>
          <w:tcPr>
            <w:tcW w:w="814" w:type="dxa"/>
            <w:vMerge w:val="restart"/>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both"/>
              <w:rPr>
                <w:rFonts w:hint="eastAsia" w:ascii="Times New Roman" w:hAnsi="Times New Roman" w:eastAsia="仿宋_GB2312"/>
                <w:color w:val="000000"/>
                <w:kern w:val="0"/>
                <w:szCs w:val="21"/>
                <w:lang w:eastAsia="zh-CN"/>
              </w:rPr>
            </w:pPr>
            <w:r>
              <w:rPr>
                <w:rFonts w:hint="eastAsia" w:ascii="Times New Roman" w:hAnsi="Times New Roman" w:eastAsia="仿宋_GB2312"/>
                <w:color w:val="FF0000"/>
                <w:kern w:val="0"/>
                <w:szCs w:val="21"/>
                <w:lang w:val="en-US" w:eastAsia="zh-CN"/>
              </w:rPr>
              <w:t>不予行政处罚</w:t>
            </w:r>
            <w:r>
              <w:rPr>
                <w:rFonts w:ascii="Times New Roman" w:hAnsi="Times New Roman" w:eastAsia="仿宋_GB2312"/>
                <w:color w:val="FF0000"/>
                <w:kern w:val="0"/>
                <w:szCs w:val="21"/>
              </w:rPr>
              <w:t>。</w:t>
            </w:r>
          </w:p>
        </w:tc>
        <w:tc>
          <w:tcPr>
            <w:tcW w:w="3327" w:type="dxa"/>
            <w:noWrap w:val="0"/>
            <w:vAlign w:val="center"/>
          </w:tcPr>
          <w:p>
            <w:pPr>
              <w:snapToGrid w:val="0"/>
              <w:jc w:val="both"/>
              <w:rPr>
                <w:rFonts w:hint="eastAsia" w:ascii="Times New Roman" w:hAnsi="Times New Roman" w:eastAsia="仿宋_GB2312"/>
                <w:color w:val="FF0000"/>
                <w:kern w:val="0"/>
                <w:szCs w:val="21"/>
                <w:lang w:val="en-US" w:eastAsia="zh-CN"/>
              </w:rPr>
            </w:pPr>
            <w:r>
              <w:rPr>
                <w:rFonts w:hint="eastAsia" w:ascii="Times New Roman" w:hAnsi="Times New Roman" w:eastAsia="仿宋_GB2312"/>
                <w:color w:val="FF0000"/>
                <w:kern w:val="0"/>
                <w:szCs w:val="21"/>
                <w:lang w:val="en-US" w:eastAsia="zh-CN"/>
              </w:rPr>
              <w:t>在除</w:t>
            </w:r>
            <w:r>
              <w:rPr>
                <w:rFonts w:hint="default" w:ascii="Times New Roman" w:hAnsi="Times New Roman" w:eastAsia="仿宋_GB2312"/>
                <w:color w:val="FF0000"/>
                <w:kern w:val="0"/>
                <w:szCs w:val="21"/>
                <w:lang w:val="en-US" w:eastAsia="zh-CN"/>
              </w:rPr>
              <w:t>学校、幼儿园、医疗卫生机构</w:t>
            </w:r>
            <w:r>
              <w:rPr>
                <w:rFonts w:hint="eastAsia" w:ascii="Times New Roman" w:hAnsi="Times New Roman" w:eastAsia="仿宋_GB2312"/>
                <w:color w:val="FF0000"/>
                <w:kern w:val="0"/>
                <w:szCs w:val="21"/>
                <w:lang w:val="en-US" w:eastAsia="zh-CN"/>
              </w:rPr>
              <w:t>外</w:t>
            </w:r>
            <w:r>
              <w:rPr>
                <w:rFonts w:hint="default" w:ascii="Times New Roman" w:hAnsi="Times New Roman" w:eastAsia="仿宋_GB2312"/>
                <w:color w:val="FF0000"/>
                <w:kern w:val="0"/>
                <w:szCs w:val="21"/>
                <w:lang w:val="en-US" w:eastAsia="zh-CN"/>
              </w:rPr>
              <w:t>等禁止吸烟场所吸烟</w:t>
            </w:r>
            <w:r>
              <w:rPr>
                <w:rFonts w:hint="eastAsia" w:ascii="Times New Roman" w:hAnsi="Times New Roman" w:eastAsia="仿宋_GB2312"/>
                <w:color w:val="FF0000"/>
                <w:kern w:val="0"/>
                <w:szCs w:val="21"/>
                <w:lang w:val="en-US" w:eastAsia="zh-CN"/>
              </w:rPr>
              <w:t>首次被发现，危害后果轻微并当场立即改正的。</w:t>
            </w:r>
          </w:p>
        </w:tc>
        <w:tc>
          <w:tcPr>
            <w:tcW w:w="2688" w:type="dxa"/>
            <w:noWrap w:val="0"/>
            <w:vAlign w:val="center"/>
          </w:tcPr>
          <w:p>
            <w:pPr>
              <w:snapToGrid w:val="0"/>
              <w:jc w:val="both"/>
              <w:rPr>
                <w:rFonts w:hint="default" w:ascii="Times New Roman" w:hAnsi="Times New Roman" w:eastAsia="仿宋_GB2312"/>
                <w:color w:val="FF0000"/>
                <w:kern w:val="0"/>
                <w:szCs w:val="21"/>
                <w:lang w:val="en-US" w:eastAsia="zh-CN"/>
              </w:rPr>
            </w:pPr>
            <w:r>
              <w:rPr>
                <w:rFonts w:hint="eastAsia" w:ascii="Times New Roman" w:hAnsi="Times New Roman" w:eastAsia="仿宋_GB2312"/>
                <w:color w:val="FF0000"/>
                <w:kern w:val="0"/>
                <w:szCs w:val="21"/>
                <w:lang w:val="en-US" w:eastAsia="zh-CN"/>
              </w:rPr>
              <w:t>批评教育。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vMerge w:val="continue"/>
            <w:noWrap w:val="0"/>
            <w:vAlign w:val="center"/>
          </w:tcPr>
          <w:p>
            <w:pPr>
              <w:snapToGrid w:val="0"/>
              <w:rPr>
                <w:rFonts w:hint="eastAsia" w:ascii="Times New Roman" w:hAnsi="Times New Roman" w:eastAsia="仿宋_GB2312"/>
                <w:color w:val="000000"/>
                <w:kern w:val="0"/>
                <w:szCs w:val="21"/>
                <w:lang w:eastAsia="zh-CN"/>
              </w:rPr>
            </w:pPr>
          </w:p>
        </w:tc>
        <w:tc>
          <w:tcPr>
            <w:tcW w:w="1559" w:type="dxa"/>
            <w:noWrap w:val="0"/>
            <w:vAlign w:val="center"/>
          </w:tcPr>
          <w:p>
            <w:pPr>
              <w:snapToGrid w:val="0"/>
              <w:jc w:val="both"/>
              <w:rPr>
                <w:rFonts w:ascii="Times New Roman" w:hAnsi="Times New Roman" w:eastAsia="仿宋_GB2312"/>
                <w:color w:val="FF0000"/>
                <w:kern w:val="0"/>
                <w:szCs w:val="21"/>
              </w:rPr>
            </w:pPr>
            <w:r>
              <w:rPr>
                <w:rFonts w:ascii="Times New Roman" w:hAnsi="Times New Roman" w:eastAsia="仿宋_GB2312"/>
                <w:color w:val="FF0000"/>
                <w:kern w:val="0"/>
                <w:szCs w:val="21"/>
              </w:rPr>
              <w:t>罚款。</w:t>
            </w:r>
          </w:p>
        </w:tc>
        <w:tc>
          <w:tcPr>
            <w:tcW w:w="3327" w:type="dxa"/>
            <w:noWrap w:val="0"/>
            <w:vAlign w:val="center"/>
          </w:tcPr>
          <w:p>
            <w:pPr>
              <w:snapToGrid w:val="0"/>
              <w:jc w:val="both"/>
              <w:rPr>
                <w:rFonts w:ascii="Times New Roman" w:hAnsi="Times New Roman" w:eastAsia="仿宋_GB2312"/>
                <w:color w:val="FF0000"/>
                <w:kern w:val="0"/>
                <w:szCs w:val="21"/>
              </w:rPr>
            </w:pPr>
            <w:r>
              <w:rPr>
                <w:rFonts w:hint="eastAsia" w:ascii="Times New Roman" w:hAnsi="Times New Roman" w:eastAsia="仿宋_GB2312"/>
                <w:color w:val="FF0000"/>
                <w:kern w:val="0"/>
                <w:szCs w:val="21"/>
                <w:lang w:val="en-US" w:eastAsia="zh-CN"/>
              </w:rPr>
              <w:t>在禁止吸烟场所吸烟被投诉举报，或不</w:t>
            </w:r>
            <w:r>
              <w:rPr>
                <w:rFonts w:hint="eastAsia" w:ascii="Times New Roman" w:hAnsi="Times New Roman" w:eastAsia="仿宋_GB2312"/>
                <w:color w:val="FF0000"/>
                <w:kern w:val="0"/>
                <w:szCs w:val="21"/>
                <w:highlight w:val="none"/>
                <w:lang w:val="en-US" w:eastAsia="zh-CN"/>
              </w:rPr>
              <w:t>配合</w:t>
            </w:r>
            <w:r>
              <w:rPr>
                <w:rFonts w:hint="eastAsia" w:ascii="Times New Roman" w:hAnsi="Times New Roman" w:eastAsia="仿宋_GB2312"/>
                <w:color w:val="FF0000"/>
                <w:kern w:val="0"/>
                <w:szCs w:val="21"/>
                <w:highlight w:val="none"/>
                <w:lang w:eastAsia="zh-CN"/>
              </w:rPr>
              <w:t>综合</w:t>
            </w:r>
            <w:r>
              <w:rPr>
                <w:rFonts w:ascii="Times New Roman" w:hAnsi="Times New Roman" w:eastAsia="仿宋_GB2312"/>
                <w:color w:val="FF0000"/>
                <w:kern w:val="0"/>
                <w:szCs w:val="21"/>
                <w:highlight w:val="none"/>
              </w:rPr>
              <w:t>行政执法人员查处</w:t>
            </w:r>
            <w:r>
              <w:rPr>
                <w:rFonts w:hint="eastAsia" w:ascii="Times New Roman" w:hAnsi="Times New Roman" w:eastAsia="仿宋_GB2312"/>
                <w:color w:val="FF0000"/>
                <w:kern w:val="0"/>
                <w:szCs w:val="21"/>
                <w:highlight w:val="none"/>
                <w:lang w:val="en-US" w:eastAsia="zh-CN"/>
              </w:rPr>
              <w:t>的。</w:t>
            </w:r>
          </w:p>
        </w:tc>
        <w:tc>
          <w:tcPr>
            <w:tcW w:w="2688" w:type="dxa"/>
            <w:noWrap w:val="0"/>
            <w:vAlign w:val="center"/>
          </w:tcPr>
          <w:p>
            <w:pPr>
              <w:snapToGrid w:val="0"/>
              <w:jc w:val="both"/>
              <w:rPr>
                <w:rFonts w:hint="default" w:ascii="Times New Roman" w:hAnsi="Times New Roman" w:eastAsia="仿宋_GB2312"/>
                <w:color w:val="FF0000"/>
                <w:kern w:val="0"/>
                <w:szCs w:val="21"/>
                <w:lang w:val="en-US" w:eastAsia="zh-CN"/>
              </w:rPr>
            </w:pPr>
            <w:r>
              <w:rPr>
                <w:rFonts w:hint="default" w:ascii="Times New Roman" w:hAnsi="Times New Roman" w:eastAsia="仿宋_GB2312"/>
                <w:color w:val="FF0000"/>
                <w:kern w:val="0"/>
                <w:szCs w:val="21"/>
                <w:lang w:val="en-US" w:eastAsia="zh-CN"/>
              </w:rPr>
              <w:t>处五十元罚款</w:t>
            </w:r>
            <w:r>
              <w:rPr>
                <w:rFonts w:hint="eastAsia" w:ascii="Times New Roman" w:hAnsi="Times New Roman" w:eastAsia="仿宋_GB2312"/>
                <w:color w:val="FF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both"/>
              <w:rPr>
                <w:rFonts w:ascii="Times New Roman" w:hAnsi="Times New Roman" w:eastAsia="仿宋_GB2312"/>
                <w:color w:val="FF0000"/>
                <w:kern w:val="0"/>
                <w:szCs w:val="21"/>
              </w:rPr>
            </w:pPr>
            <w:r>
              <w:rPr>
                <w:rFonts w:ascii="Times New Roman" w:hAnsi="Times New Roman" w:eastAsia="仿宋_GB2312"/>
                <w:color w:val="FF0000"/>
                <w:kern w:val="0"/>
                <w:szCs w:val="21"/>
              </w:rPr>
              <w:t>罚款。</w:t>
            </w:r>
          </w:p>
        </w:tc>
        <w:tc>
          <w:tcPr>
            <w:tcW w:w="3327" w:type="dxa"/>
            <w:noWrap w:val="0"/>
            <w:vAlign w:val="center"/>
          </w:tcPr>
          <w:p>
            <w:pPr>
              <w:snapToGrid w:val="0"/>
              <w:jc w:val="both"/>
              <w:rPr>
                <w:rFonts w:hint="default" w:ascii="Times New Roman" w:hAnsi="Times New Roman" w:eastAsia="仿宋_GB2312"/>
                <w:color w:val="FF0000"/>
                <w:kern w:val="0"/>
                <w:szCs w:val="21"/>
                <w:lang w:val="en-US"/>
              </w:rPr>
            </w:pPr>
            <w:r>
              <w:rPr>
                <w:rFonts w:hint="eastAsia" w:ascii="Times New Roman" w:hAnsi="Times New Roman" w:eastAsia="仿宋_GB2312"/>
                <w:color w:val="FF0000"/>
                <w:kern w:val="0"/>
                <w:szCs w:val="21"/>
                <w:lang w:val="en-US" w:eastAsia="zh-CN"/>
              </w:rPr>
              <w:t>在禁止吸烟场所吸烟拒不改正，或第二次受到行政处罚的。</w:t>
            </w:r>
          </w:p>
        </w:tc>
        <w:tc>
          <w:tcPr>
            <w:tcW w:w="2688" w:type="dxa"/>
            <w:noWrap w:val="0"/>
            <w:vAlign w:val="center"/>
          </w:tcPr>
          <w:p>
            <w:pPr>
              <w:snapToGrid w:val="0"/>
              <w:jc w:val="both"/>
              <w:rPr>
                <w:rFonts w:hint="default" w:ascii="Times New Roman" w:hAnsi="Times New Roman" w:eastAsia="仿宋_GB2312"/>
                <w:color w:val="FF0000"/>
                <w:kern w:val="0"/>
                <w:szCs w:val="21"/>
                <w:lang w:val="en-US" w:eastAsia="zh-CN"/>
              </w:rPr>
            </w:pPr>
            <w:r>
              <w:rPr>
                <w:rFonts w:hint="eastAsia" w:ascii="Times New Roman" w:hAnsi="Times New Roman" w:eastAsia="仿宋_GB2312"/>
                <w:color w:val="FF0000"/>
                <w:kern w:val="0"/>
                <w:szCs w:val="21"/>
                <w:lang w:val="en-US" w:eastAsia="zh-CN"/>
              </w:rPr>
              <w:t>处以二百元以上三百元以下罚款。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24"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both"/>
              <w:rPr>
                <w:rFonts w:ascii="Times New Roman" w:hAnsi="Times New Roman" w:eastAsia="仿宋_GB2312"/>
                <w:color w:val="FF0000"/>
                <w:kern w:val="0"/>
                <w:szCs w:val="21"/>
              </w:rPr>
            </w:pPr>
            <w:r>
              <w:rPr>
                <w:rFonts w:ascii="Times New Roman" w:hAnsi="Times New Roman" w:eastAsia="仿宋_GB2312"/>
                <w:color w:val="FF0000"/>
                <w:kern w:val="0"/>
                <w:szCs w:val="21"/>
              </w:rPr>
              <w:t>罚款。</w:t>
            </w:r>
          </w:p>
        </w:tc>
        <w:tc>
          <w:tcPr>
            <w:tcW w:w="3327" w:type="dxa"/>
            <w:noWrap w:val="0"/>
            <w:vAlign w:val="center"/>
          </w:tcPr>
          <w:p>
            <w:pPr>
              <w:snapToGrid w:val="0"/>
              <w:jc w:val="both"/>
              <w:rPr>
                <w:rFonts w:ascii="Times New Roman" w:hAnsi="Times New Roman" w:eastAsia="仿宋_GB2312"/>
                <w:color w:val="FF0000"/>
                <w:kern w:val="0"/>
                <w:szCs w:val="21"/>
              </w:rPr>
            </w:pPr>
            <w:r>
              <w:rPr>
                <w:rFonts w:hint="eastAsia" w:ascii="Times New Roman" w:hAnsi="Times New Roman" w:eastAsia="仿宋_GB2312"/>
                <w:color w:val="FF0000"/>
                <w:kern w:val="0"/>
                <w:szCs w:val="21"/>
                <w:lang w:val="en-US" w:eastAsia="zh-CN"/>
              </w:rPr>
              <w:t>在禁止吸烟场所吸烟拒不改正，第三次及以上受到行政处罚的。</w:t>
            </w:r>
          </w:p>
        </w:tc>
        <w:tc>
          <w:tcPr>
            <w:tcW w:w="2688" w:type="dxa"/>
            <w:noWrap w:val="0"/>
            <w:vAlign w:val="center"/>
          </w:tcPr>
          <w:p>
            <w:pPr>
              <w:snapToGrid w:val="0"/>
              <w:jc w:val="both"/>
              <w:rPr>
                <w:rFonts w:ascii="Times New Roman" w:hAnsi="Times New Roman" w:eastAsia="仿宋_GB2312"/>
                <w:color w:val="FF0000"/>
                <w:kern w:val="0"/>
                <w:szCs w:val="21"/>
              </w:rPr>
            </w:pPr>
            <w:r>
              <w:rPr>
                <w:rFonts w:hint="eastAsia" w:ascii="Times New Roman" w:hAnsi="Times New Roman" w:eastAsia="仿宋_GB2312"/>
                <w:color w:val="FF0000"/>
                <w:kern w:val="0"/>
                <w:szCs w:val="21"/>
                <w:lang w:val="en-US" w:eastAsia="zh-CN"/>
              </w:rPr>
              <w:t>处以三百元以上四百元以下罚款。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both"/>
              <w:rPr>
                <w:rFonts w:ascii="Times New Roman" w:hAnsi="Times New Roman" w:eastAsia="仿宋_GB2312"/>
                <w:color w:val="FF0000"/>
                <w:kern w:val="0"/>
                <w:szCs w:val="21"/>
              </w:rPr>
            </w:pPr>
            <w:r>
              <w:rPr>
                <w:rFonts w:ascii="Times New Roman" w:hAnsi="Times New Roman" w:eastAsia="仿宋_GB2312"/>
                <w:color w:val="FF0000"/>
                <w:kern w:val="0"/>
                <w:szCs w:val="21"/>
              </w:rPr>
              <w:t>罚款。</w:t>
            </w:r>
          </w:p>
        </w:tc>
        <w:tc>
          <w:tcPr>
            <w:tcW w:w="3327" w:type="dxa"/>
            <w:noWrap w:val="0"/>
            <w:vAlign w:val="center"/>
          </w:tcPr>
          <w:p>
            <w:pPr>
              <w:snapToGrid w:val="0"/>
              <w:jc w:val="both"/>
              <w:rPr>
                <w:rFonts w:ascii="Times New Roman" w:hAnsi="Times New Roman" w:eastAsia="仿宋_GB2312"/>
                <w:color w:val="FF0000"/>
                <w:kern w:val="0"/>
                <w:szCs w:val="21"/>
              </w:rPr>
            </w:pPr>
            <w:r>
              <w:rPr>
                <w:rFonts w:hint="eastAsia" w:ascii="Times New Roman" w:hAnsi="Times New Roman" w:eastAsia="仿宋_GB2312"/>
                <w:color w:val="FF0000"/>
                <w:kern w:val="0"/>
                <w:szCs w:val="21"/>
                <w:lang w:val="en-US" w:eastAsia="zh-CN"/>
              </w:rPr>
              <w:t>在禁止吸烟场所吸烟不听劝阻，第二次及以上受到行政处罚，且拒绝配合综合行政执法人员查处，或态度恶劣，已造成严重不良影响的。</w:t>
            </w:r>
          </w:p>
        </w:tc>
        <w:tc>
          <w:tcPr>
            <w:tcW w:w="2688" w:type="dxa"/>
            <w:noWrap w:val="0"/>
            <w:vAlign w:val="center"/>
          </w:tcPr>
          <w:p>
            <w:pPr>
              <w:snapToGrid w:val="0"/>
              <w:jc w:val="both"/>
              <w:rPr>
                <w:rFonts w:ascii="Times New Roman" w:hAnsi="Times New Roman" w:eastAsia="仿宋_GB2312"/>
                <w:color w:val="FF0000"/>
                <w:kern w:val="0"/>
                <w:szCs w:val="21"/>
              </w:rPr>
            </w:pPr>
            <w:r>
              <w:rPr>
                <w:rFonts w:hint="eastAsia" w:ascii="Times New Roman" w:hAnsi="Times New Roman" w:eastAsia="仿宋_GB2312"/>
                <w:color w:val="FF0000"/>
                <w:kern w:val="0"/>
                <w:szCs w:val="21"/>
                <w:lang w:val="en-US" w:eastAsia="zh-CN"/>
              </w:rPr>
              <w:t>处以四百元以上五百元以下罚款。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29" w:hRule="atLeast"/>
          <w:jc w:val="center"/>
        </w:trPr>
        <w:tc>
          <w:tcPr>
            <w:tcW w:w="568" w:type="dxa"/>
            <w:vMerge w:val="restart"/>
            <w:noWrap w:val="0"/>
            <w:vAlign w:val="center"/>
          </w:tcPr>
          <w:p>
            <w:pPr>
              <w:snapToGrid w:val="0"/>
              <w:jc w:val="center"/>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5</w:t>
            </w:r>
          </w:p>
        </w:tc>
        <w:tc>
          <w:tcPr>
            <w:tcW w:w="1993" w:type="dxa"/>
            <w:vMerge w:val="restart"/>
            <w:noWrap w:val="0"/>
            <w:vAlign w:val="top"/>
          </w:tcPr>
          <w:p>
            <w:pPr>
              <w:snapToGrid w:val="0"/>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向未成年人出售烟草制品或者电子烟的</w:t>
            </w:r>
            <w:r>
              <w:rPr>
                <w:rFonts w:hint="eastAsia" w:ascii="Times New Roman" w:hAnsi="Times New Roman" w:eastAsia="仿宋_GB2312"/>
                <w:color w:val="000000"/>
                <w:kern w:val="0"/>
                <w:szCs w:val="21"/>
                <w:lang w:val="en-US" w:eastAsia="zh-CN"/>
              </w:rPr>
              <w:t>。</w:t>
            </w:r>
          </w:p>
        </w:tc>
        <w:tc>
          <w:tcPr>
            <w:tcW w:w="3797" w:type="dxa"/>
            <w:vMerge w:val="restart"/>
            <w:noWrap w:val="0"/>
            <w:vAlign w:val="top"/>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《条例》第十八条第四款</w:t>
            </w:r>
            <w:r>
              <w:rPr>
                <w:rFonts w:hint="eastAsia" w:ascii="Times New Roman" w:hAnsi="Times New Roman" w:eastAsia="仿宋_GB2312"/>
                <w:color w:val="000000"/>
                <w:kern w:val="0"/>
                <w:szCs w:val="21"/>
                <w:lang w:val="en-US" w:eastAsia="zh-CN"/>
              </w:rPr>
              <w:t xml:space="preserve"> </w:t>
            </w:r>
            <w:r>
              <w:rPr>
                <w:rFonts w:hint="default" w:ascii="Times New Roman" w:hAnsi="Times New Roman" w:eastAsia="仿宋_GB2312"/>
                <w:color w:val="000000"/>
                <w:kern w:val="0"/>
                <w:szCs w:val="21"/>
                <w:lang w:val="en-US" w:eastAsia="zh-CN"/>
              </w:rPr>
              <w:t>预防和制止未成年人吸烟（含电子烟）。禁止向未成年人出售烟草制品或者电子烟。</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依据条款：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210" w:firstLineChars="100"/>
              <w:jc w:val="left"/>
              <w:textAlignment w:val="auto"/>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《条例》</w:t>
            </w:r>
            <w:r>
              <w:rPr>
                <w:rFonts w:hint="default" w:ascii="Times New Roman" w:hAnsi="Times New Roman" w:eastAsia="仿宋_GB2312"/>
                <w:color w:val="000000"/>
                <w:kern w:val="0"/>
                <w:szCs w:val="21"/>
                <w:lang w:val="en-US" w:eastAsia="zh-CN"/>
              </w:rPr>
              <w:t>第三十六条</w:t>
            </w:r>
            <w:r>
              <w:rPr>
                <w:rFonts w:hint="eastAsia" w:ascii="Times New Roman" w:hAnsi="Times New Roman" w:eastAsia="仿宋_GB2312"/>
                <w:color w:val="000000"/>
                <w:kern w:val="0"/>
                <w:szCs w:val="21"/>
                <w:lang w:val="en-US" w:eastAsia="zh-CN"/>
              </w:rPr>
              <w:t>第二款</w:t>
            </w:r>
            <w:r>
              <w:rPr>
                <w:rFonts w:hint="default" w:ascii="Times New Roman" w:hAnsi="Times New Roman" w:eastAsia="仿宋_GB2312"/>
                <w:color w:val="000000"/>
                <w:kern w:val="0"/>
                <w:szCs w:val="21"/>
                <w:lang w:val="en-US" w:eastAsia="zh-CN"/>
              </w:rPr>
              <w:t xml:space="preserve">  违反本条例第十八条第四款规定，向未成年人出售烟草制品或者电子烟的，由市、县、自治县综合行政执法机构给予警告，处五千元以上二万元以下罚款。</w:t>
            </w:r>
          </w:p>
          <w:p>
            <w:pPr>
              <w:snapToGrid w:val="0"/>
              <w:rPr>
                <w:rFonts w:hint="eastAsia" w:ascii="Times New Roman" w:hAnsi="Times New Roman" w:eastAsia="仿宋_GB2312"/>
                <w:color w:val="000000"/>
                <w:kern w:val="0"/>
                <w:sz w:val="21"/>
                <w:szCs w:val="21"/>
                <w:lang w:val="en-US" w:eastAsia="zh-CN"/>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警告，罚款。</w:t>
            </w:r>
          </w:p>
        </w:tc>
        <w:tc>
          <w:tcPr>
            <w:tcW w:w="3327" w:type="dxa"/>
            <w:noWrap w:val="0"/>
            <w:vAlign w:val="top"/>
          </w:tcPr>
          <w:p>
            <w:pPr>
              <w:numPr>
                <w:ilvl w:val="0"/>
                <w:numId w:val="0"/>
              </w:num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（1）向未成年人销售烟草制品数量在（卷烟数量在100支以下、或雪茄烟10支以下、或电子烟烟油、烟弹、烟具等5支&lt;瓶、颗&gt;以下）的；</w:t>
            </w:r>
          </w:p>
          <w:p>
            <w:pPr>
              <w:numPr>
                <w:ilvl w:val="0"/>
                <w:numId w:val="0"/>
              </w:numPr>
              <w:snapToGrid w:val="0"/>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（2）向未成年人销售烟草制品（含电子烟）在3人次以下的。</w:t>
            </w:r>
          </w:p>
        </w:tc>
        <w:tc>
          <w:tcPr>
            <w:tcW w:w="2688" w:type="dxa"/>
            <w:noWrap w:val="0"/>
            <w:vAlign w:val="top"/>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给予警告，处五千元以上八千元以下罚款。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hint="eastAsia" w:ascii="Times New Roman" w:hAnsi="Times New Roman" w:eastAsia="仿宋_GB2312"/>
                <w:color w:val="000000"/>
                <w:kern w:val="0"/>
                <w:szCs w:val="21"/>
                <w:lang w:eastAsia="zh-CN"/>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警告，罚款。</w:t>
            </w:r>
          </w:p>
        </w:tc>
        <w:tc>
          <w:tcPr>
            <w:tcW w:w="3327" w:type="dxa"/>
            <w:noWrap w:val="0"/>
            <w:vAlign w:val="top"/>
          </w:tcPr>
          <w:p>
            <w:pPr>
              <w:numPr>
                <w:ilvl w:val="0"/>
                <w:numId w:val="0"/>
              </w:numPr>
              <w:snapToGrid w:val="0"/>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（1）向未成年人销售烟草制品数量在（卷烟数量在100支以上500支以下、或雪茄烟10支以上50支以下、或电子烟烟油、烟弹、烟具等5支&lt;瓶、颗&gt;以上25支&lt;瓶、颗&gt;以下）的；</w:t>
            </w:r>
          </w:p>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（2）向未成年人销售烟草制品（含电子烟）在3人次以上10人次以下的。</w:t>
            </w:r>
          </w:p>
        </w:tc>
        <w:tc>
          <w:tcPr>
            <w:tcW w:w="2688" w:type="dxa"/>
            <w:noWrap w:val="0"/>
            <w:vAlign w:val="top"/>
          </w:tcPr>
          <w:p>
            <w:pPr>
              <w:snapToGrid w:val="0"/>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给予警告，处八千元以上一万二千元以下罚款。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警告，罚款。</w:t>
            </w:r>
          </w:p>
        </w:tc>
        <w:tc>
          <w:tcPr>
            <w:tcW w:w="3327" w:type="dxa"/>
            <w:noWrap w:val="0"/>
            <w:vAlign w:val="center"/>
          </w:tcPr>
          <w:p>
            <w:pPr>
              <w:numPr>
                <w:ilvl w:val="0"/>
                <w:numId w:val="0"/>
              </w:numPr>
              <w:snapToGrid w:val="0"/>
              <w:jc w:val="both"/>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（1）向未成年人销售烟草制品数量在（卷烟数量在500支以上1000支以下、或雪茄烟50支以上100支以下、或电子烟烟油、烟弹、烟具等25支&lt;瓶、颗&gt;以下）的；</w:t>
            </w:r>
          </w:p>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（2）向未成年人销售烟草制品（含电子烟）在10人次以上20人次以下的。</w:t>
            </w:r>
          </w:p>
        </w:tc>
        <w:tc>
          <w:tcPr>
            <w:tcW w:w="2688" w:type="dxa"/>
            <w:noWrap w:val="0"/>
            <w:vAlign w:val="center"/>
          </w:tcPr>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给予警告，处一万二千元以上一万六千元以下罚款。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3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警告，罚款。</w:t>
            </w:r>
          </w:p>
        </w:tc>
        <w:tc>
          <w:tcPr>
            <w:tcW w:w="3327" w:type="dxa"/>
            <w:noWrap w:val="0"/>
            <w:vAlign w:val="center"/>
          </w:tcPr>
          <w:p>
            <w:pPr>
              <w:numPr>
                <w:ilvl w:val="0"/>
                <w:numId w:val="0"/>
              </w:numPr>
              <w:snapToGrid w:val="0"/>
              <w:jc w:val="both"/>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（1）一年内因向未成年销售烟草制品（含电子烟等新型烟草制品）被处罚，再次向未成年人销售烟草制品的。</w:t>
            </w:r>
          </w:p>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（2）向未成年人销售烟草制品（含电子烟）在20人次以上的。</w:t>
            </w:r>
          </w:p>
        </w:tc>
        <w:tc>
          <w:tcPr>
            <w:tcW w:w="2688" w:type="dxa"/>
            <w:noWrap w:val="0"/>
            <w:vAlign w:val="center"/>
          </w:tcPr>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给予警告，处一万六千元以上二万元以下罚款。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19" w:hRule="atLeast"/>
          <w:jc w:val="center"/>
        </w:trPr>
        <w:tc>
          <w:tcPr>
            <w:tcW w:w="568" w:type="dxa"/>
            <w:vMerge w:val="restart"/>
            <w:noWrap w:val="0"/>
            <w:vAlign w:val="center"/>
          </w:tcPr>
          <w:p>
            <w:pPr>
              <w:snapToGrid w:val="0"/>
              <w:jc w:val="center"/>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6</w:t>
            </w:r>
          </w:p>
        </w:tc>
        <w:tc>
          <w:tcPr>
            <w:tcW w:w="1993" w:type="dxa"/>
            <w:vMerge w:val="restart"/>
            <w:noWrap w:val="0"/>
            <w:vAlign w:val="top"/>
          </w:tcPr>
          <w:p>
            <w:pPr>
              <w:snapToGrid w:val="0"/>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易孳生病媒生物场所病媒生物密度超过国家规定标准范围的</w:t>
            </w:r>
            <w:r>
              <w:rPr>
                <w:rFonts w:hint="eastAsia" w:ascii="Times New Roman" w:hAnsi="Times New Roman" w:eastAsia="仿宋_GB2312"/>
                <w:color w:val="000000"/>
                <w:kern w:val="0"/>
                <w:szCs w:val="21"/>
                <w:lang w:val="en-US" w:eastAsia="zh-CN"/>
              </w:rPr>
              <w:t>。</w:t>
            </w:r>
          </w:p>
        </w:tc>
        <w:tc>
          <w:tcPr>
            <w:tcW w:w="3797" w:type="dxa"/>
            <w:vMerge w:val="restart"/>
            <w:noWrap w:val="0"/>
            <w:vAlign w:val="top"/>
          </w:tcPr>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违法条款：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firstLine="420" w:firstLineChars="20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w:t>
            </w:r>
            <w:r>
              <w:rPr>
                <w:rFonts w:hint="default" w:ascii="Times New Roman" w:hAnsi="Times New Roman" w:eastAsia="仿宋_GB2312"/>
                <w:color w:val="000000"/>
                <w:kern w:val="0"/>
                <w:szCs w:val="21"/>
                <w:lang w:val="en-US" w:eastAsia="zh-CN"/>
              </w:rPr>
              <w:t>条例</w:t>
            </w:r>
            <w:r>
              <w:rPr>
                <w:rFonts w:hint="eastAsia" w:ascii="Times New Roman" w:hAnsi="Times New Roman" w:eastAsia="仿宋_GB2312"/>
                <w:color w:val="000000"/>
                <w:kern w:val="0"/>
                <w:szCs w:val="21"/>
                <w:lang w:eastAsia="zh-CN"/>
              </w:rPr>
              <w:t>》</w:t>
            </w:r>
            <w:r>
              <w:rPr>
                <w:rFonts w:hint="default" w:ascii="Times New Roman" w:hAnsi="Times New Roman" w:eastAsia="仿宋_GB2312"/>
                <w:color w:val="000000"/>
                <w:kern w:val="0"/>
                <w:szCs w:val="21"/>
                <w:lang w:val="en-US" w:eastAsia="zh-CN"/>
              </w:rPr>
              <w:t>第二十四条第一款</w:t>
            </w:r>
            <w:r>
              <w:rPr>
                <w:rFonts w:hint="eastAsia" w:ascii="Times New Roman" w:hAnsi="Times New Roman" w:eastAsia="仿宋_GB2312"/>
                <w:color w:val="000000"/>
                <w:kern w:val="0"/>
                <w:szCs w:val="21"/>
                <w:lang w:val="en-US" w:eastAsia="zh-CN"/>
              </w:rPr>
              <w:t xml:space="preserve"> </w:t>
            </w:r>
            <w:r>
              <w:rPr>
                <w:rFonts w:hint="default" w:ascii="Times New Roman" w:hAnsi="Times New Roman" w:eastAsia="仿宋_GB2312"/>
                <w:color w:val="000000"/>
                <w:kern w:val="0"/>
                <w:szCs w:val="21"/>
                <w:lang w:val="en-US" w:eastAsia="zh-CN"/>
              </w:rPr>
              <w:t>病媒生物预防控制工作实行单位责任制。机关、企事业单位、其他组织和村（居）民委员会等应当建立日常的病媒生物预防控制制度，采取有效措施，将病媒生物的密度控制在国家规定的标准范围之内。</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0"/>
              <w:jc w:val="left"/>
              <w:textAlignment w:val="auto"/>
              <w:rPr>
                <w:rFonts w:hint="eastAsia"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依据条款：</w:t>
            </w:r>
          </w:p>
          <w:p>
            <w:pPr>
              <w:keepNext w:val="0"/>
              <w:keepLines w:val="0"/>
              <w:pageBreakBefore w:val="0"/>
              <w:widowControl/>
              <w:suppressLineNumbers w:val="0"/>
              <w:shd w:val="clear" w:color="auto" w:fill="FFFFFF"/>
              <w:kinsoku/>
              <w:wordWrap w:val="0"/>
              <w:overflowPunct/>
              <w:topLinePunct w:val="0"/>
              <w:autoSpaceDE/>
              <w:autoSpaceDN/>
              <w:bidi w:val="0"/>
              <w:adjustRightInd/>
              <w:snapToGrid/>
              <w:ind w:left="0" w:firstLine="420" w:firstLineChars="200"/>
              <w:jc w:val="left"/>
              <w:textAlignment w:val="auto"/>
              <w:rPr>
                <w:rFonts w:hint="default" w:ascii="Times New Roman" w:hAnsi="Times New Roman" w:eastAsia="仿宋_GB2312"/>
                <w:color w:val="000000"/>
                <w:kern w:val="0"/>
                <w:szCs w:val="21"/>
                <w:lang w:eastAsia="zh-CN"/>
              </w:rPr>
            </w:pPr>
            <w:r>
              <w:rPr>
                <w:rFonts w:hint="eastAsia" w:ascii="Times New Roman" w:hAnsi="Times New Roman" w:eastAsia="仿宋_GB2312"/>
                <w:color w:val="000000"/>
                <w:kern w:val="0"/>
                <w:szCs w:val="21"/>
                <w:lang w:eastAsia="zh-CN"/>
              </w:rPr>
              <w:t>《条例》</w:t>
            </w:r>
            <w:r>
              <w:rPr>
                <w:rFonts w:hint="default" w:ascii="Times New Roman" w:hAnsi="Times New Roman" w:eastAsia="仿宋_GB2312"/>
                <w:color w:val="000000"/>
                <w:kern w:val="0"/>
                <w:szCs w:val="21"/>
                <w:lang w:val="en-US" w:eastAsia="zh-CN"/>
              </w:rPr>
              <w:t>第三十七条  违反本条例第二十四条第一款规定，易孳生病媒生物场所病媒生物密度超过国家规定标准范围的，由爱卫会办事机构责令改正，市、县、自治县综合行政执法机构可以处一千元以上一万元以下罚款。</w:t>
            </w:r>
          </w:p>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轻微</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罚款。</w:t>
            </w:r>
          </w:p>
        </w:tc>
        <w:tc>
          <w:tcPr>
            <w:tcW w:w="3327" w:type="dxa"/>
            <w:noWrap w:val="0"/>
            <w:vAlign w:val="center"/>
          </w:tcPr>
          <w:p>
            <w:pPr>
              <w:snapToGrid w:val="0"/>
              <w:jc w:val="both"/>
              <w:rPr>
                <w:rFonts w:hint="default" w:ascii="Times New Roman" w:hAnsi="Times New Roman" w:eastAsia="仿宋_GB2312"/>
                <w:color w:val="000000"/>
                <w:kern w:val="0"/>
                <w:szCs w:val="21"/>
                <w:lang w:val="en-US" w:eastAsia="zh-CN"/>
              </w:rPr>
            </w:pPr>
            <w:r>
              <w:rPr>
                <w:rFonts w:hint="default" w:ascii="Times New Roman" w:hAnsi="Times New Roman" w:eastAsia="仿宋_GB2312"/>
                <w:color w:val="000000"/>
                <w:kern w:val="0"/>
                <w:szCs w:val="21"/>
                <w:lang w:val="en-US" w:eastAsia="zh-CN"/>
              </w:rPr>
              <w:t>易孳生病媒生物场所病媒生物密度</w:t>
            </w:r>
            <w:r>
              <w:rPr>
                <w:rFonts w:hint="eastAsia" w:ascii="Times New Roman" w:hAnsi="Times New Roman" w:eastAsia="仿宋_GB2312"/>
                <w:color w:val="000000"/>
                <w:kern w:val="0"/>
                <w:szCs w:val="21"/>
                <w:lang w:val="en-US" w:eastAsia="zh-CN"/>
              </w:rPr>
              <w:t>超过国家规定标准范围的项目在2项以下且每项指标不超过规定值1倍，尚未造成区域内虫媒传染病暴发和流行的。</w:t>
            </w:r>
          </w:p>
        </w:tc>
        <w:tc>
          <w:tcPr>
            <w:tcW w:w="2688" w:type="dxa"/>
            <w:noWrap w:val="0"/>
            <w:vAlign w:val="center"/>
          </w:tcPr>
          <w:p>
            <w:pPr>
              <w:snapToGrid w:val="0"/>
              <w:jc w:val="both"/>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可以处一千元以上三千元以下罚款。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一般</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罚款。</w:t>
            </w:r>
          </w:p>
        </w:tc>
        <w:tc>
          <w:tcPr>
            <w:tcW w:w="3327" w:type="dxa"/>
            <w:noWrap w:val="0"/>
            <w:vAlign w:val="center"/>
          </w:tcPr>
          <w:p>
            <w:pPr>
              <w:snapToGrid w:val="0"/>
              <w:jc w:val="both"/>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易孳生病媒生物场所病媒生物密度</w:t>
            </w:r>
            <w:r>
              <w:rPr>
                <w:rFonts w:hint="eastAsia" w:ascii="Times New Roman" w:hAnsi="Times New Roman" w:eastAsia="仿宋_GB2312"/>
                <w:color w:val="000000"/>
                <w:kern w:val="0"/>
                <w:szCs w:val="21"/>
                <w:lang w:val="en-US" w:eastAsia="zh-CN"/>
              </w:rPr>
              <w:t>超过国家规定标准范围的项目在3项以上且每项指标不超过规定值1倍，或有1个项目指标超过规定值1倍以上，尚未造成区域内虫媒传染病暴发和流行的。</w:t>
            </w:r>
          </w:p>
        </w:tc>
        <w:tc>
          <w:tcPr>
            <w:tcW w:w="2688" w:type="dxa"/>
            <w:noWrap w:val="0"/>
            <w:vAlign w:val="center"/>
          </w:tcPr>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可以处三千元以上五千元以下罚款。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89"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较重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罚款。</w:t>
            </w:r>
          </w:p>
        </w:tc>
        <w:tc>
          <w:tcPr>
            <w:tcW w:w="3327" w:type="dxa"/>
            <w:noWrap w:val="0"/>
            <w:vAlign w:val="center"/>
          </w:tcPr>
          <w:p>
            <w:pPr>
              <w:snapToGrid w:val="0"/>
              <w:jc w:val="both"/>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易孳生病媒生物场所病媒生物密度</w:t>
            </w:r>
            <w:r>
              <w:rPr>
                <w:rFonts w:hint="eastAsia" w:ascii="Times New Roman" w:hAnsi="Times New Roman" w:eastAsia="仿宋_GB2312"/>
                <w:color w:val="000000"/>
                <w:kern w:val="0"/>
                <w:szCs w:val="21"/>
                <w:lang w:val="en-US" w:eastAsia="zh-CN"/>
              </w:rPr>
              <w:t>超过国家规定标准范围的项目有2个项目指标超过规定值1倍以上，尚未造成区域内虫媒传染病暴发和流行的。</w:t>
            </w:r>
          </w:p>
        </w:tc>
        <w:tc>
          <w:tcPr>
            <w:tcW w:w="2688" w:type="dxa"/>
            <w:noWrap w:val="0"/>
            <w:vAlign w:val="center"/>
          </w:tcPr>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可以处五千元以上七千元以下罚款。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6" w:hRule="atLeast"/>
          <w:jc w:val="center"/>
        </w:trPr>
        <w:tc>
          <w:tcPr>
            <w:tcW w:w="568" w:type="dxa"/>
            <w:vMerge w:val="continue"/>
            <w:noWrap w:val="0"/>
            <w:vAlign w:val="top"/>
          </w:tcPr>
          <w:p>
            <w:pPr>
              <w:snapToGrid w:val="0"/>
              <w:rPr>
                <w:rFonts w:ascii="Times New Roman" w:hAnsi="Times New Roman" w:eastAsia="仿宋_GB2312"/>
                <w:color w:val="000000"/>
                <w:kern w:val="0"/>
                <w:szCs w:val="21"/>
              </w:rPr>
            </w:pPr>
          </w:p>
        </w:tc>
        <w:tc>
          <w:tcPr>
            <w:tcW w:w="1993" w:type="dxa"/>
            <w:vMerge w:val="continue"/>
            <w:noWrap w:val="0"/>
            <w:vAlign w:val="top"/>
          </w:tcPr>
          <w:p>
            <w:pPr>
              <w:snapToGrid w:val="0"/>
              <w:rPr>
                <w:rFonts w:ascii="Times New Roman" w:hAnsi="Times New Roman" w:eastAsia="仿宋_GB2312"/>
                <w:color w:val="000000"/>
                <w:kern w:val="0"/>
                <w:szCs w:val="21"/>
              </w:rPr>
            </w:pPr>
          </w:p>
        </w:tc>
        <w:tc>
          <w:tcPr>
            <w:tcW w:w="3797" w:type="dxa"/>
            <w:vMerge w:val="continue"/>
            <w:noWrap w:val="0"/>
            <w:vAlign w:val="top"/>
          </w:tcPr>
          <w:p>
            <w:pPr>
              <w:snapToGrid w:val="0"/>
              <w:rPr>
                <w:rFonts w:ascii="Times New Roman" w:hAnsi="Times New Roman" w:eastAsia="仿宋_GB2312"/>
                <w:color w:val="000000"/>
                <w:kern w:val="0"/>
                <w:szCs w:val="21"/>
              </w:rPr>
            </w:pPr>
          </w:p>
        </w:tc>
        <w:tc>
          <w:tcPr>
            <w:tcW w:w="814" w:type="dxa"/>
            <w:noWrap w:val="0"/>
            <w:vAlign w:val="center"/>
          </w:tcPr>
          <w:p>
            <w:pPr>
              <w:snapToGrid w:val="0"/>
              <w:rPr>
                <w:rFonts w:ascii="Times New Roman" w:hAnsi="Times New Roman" w:eastAsia="仿宋_GB2312"/>
                <w:color w:val="000000"/>
                <w:kern w:val="0"/>
                <w:szCs w:val="21"/>
              </w:rPr>
            </w:pPr>
            <w:r>
              <w:rPr>
                <w:rFonts w:ascii="Times New Roman" w:hAnsi="Times New Roman" w:eastAsia="仿宋_GB2312"/>
                <w:color w:val="000000"/>
                <w:kern w:val="0"/>
                <w:szCs w:val="21"/>
              </w:rPr>
              <w:t>严重</w:t>
            </w:r>
          </w:p>
          <w:p>
            <w:pPr>
              <w:snapToGrid w:val="0"/>
              <w:rPr>
                <w:rFonts w:hint="eastAsia" w:ascii="Times New Roman" w:hAnsi="Times New Roman" w:eastAsia="仿宋_GB2312"/>
                <w:color w:val="000000"/>
                <w:kern w:val="0"/>
                <w:szCs w:val="21"/>
                <w:lang w:eastAsia="zh-CN"/>
              </w:rPr>
            </w:pPr>
            <w:r>
              <w:rPr>
                <w:rFonts w:ascii="Times New Roman" w:hAnsi="Times New Roman" w:eastAsia="仿宋_GB2312"/>
                <w:color w:val="000000"/>
                <w:kern w:val="0"/>
                <w:szCs w:val="21"/>
              </w:rPr>
              <w:t>违法</w:t>
            </w:r>
          </w:p>
        </w:tc>
        <w:tc>
          <w:tcPr>
            <w:tcW w:w="1559" w:type="dxa"/>
            <w:noWrap w:val="0"/>
            <w:vAlign w:val="center"/>
          </w:tcPr>
          <w:p>
            <w:pPr>
              <w:snapToGrid w:val="0"/>
              <w:jc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罚款。</w:t>
            </w:r>
          </w:p>
        </w:tc>
        <w:tc>
          <w:tcPr>
            <w:tcW w:w="3327" w:type="dxa"/>
            <w:noWrap w:val="0"/>
            <w:vAlign w:val="center"/>
          </w:tcPr>
          <w:p>
            <w:pPr>
              <w:snapToGrid w:val="0"/>
              <w:jc w:val="both"/>
              <w:rPr>
                <w:rFonts w:ascii="Times New Roman" w:hAnsi="Times New Roman" w:eastAsia="仿宋_GB2312"/>
                <w:color w:val="000000"/>
                <w:kern w:val="0"/>
                <w:szCs w:val="21"/>
              </w:rPr>
            </w:pPr>
            <w:r>
              <w:rPr>
                <w:rFonts w:hint="default" w:ascii="Times New Roman" w:hAnsi="Times New Roman" w:eastAsia="仿宋_GB2312"/>
                <w:color w:val="000000"/>
                <w:kern w:val="0"/>
                <w:szCs w:val="21"/>
                <w:lang w:val="en-US" w:eastAsia="zh-CN"/>
              </w:rPr>
              <w:t>易孳生病媒生物场所病媒生物密度</w:t>
            </w:r>
            <w:r>
              <w:rPr>
                <w:rFonts w:hint="eastAsia" w:ascii="Times New Roman" w:hAnsi="Times New Roman" w:eastAsia="仿宋_GB2312"/>
                <w:color w:val="000000"/>
                <w:kern w:val="0"/>
                <w:szCs w:val="21"/>
                <w:lang w:val="en-US" w:eastAsia="zh-CN"/>
              </w:rPr>
              <w:t>超过国家规定标准范围，已造成区域内相应虫媒传染病暴发和流行或其他严重不良影响的。</w:t>
            </w:r>
          </w:p>
        </w:tc>
        <w:tc>
          <w:tcPr>
            <w:tcW w:w="2688" w:type="dxa"/>
            <w:noWrap w:val="0"/>
            <w:vAlign w:val="center"/>
          </w:tcPr>
          <w:p>
            <w:pPr>
              <w:snapToGrid w:val="0"/>
              <w:jc w:val="both"/>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可以处七千元以上一万元以下罚款。</w:t>
            </w: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NTk2YWY1ZWQwYTIyZmM1YjNiYWVmNTU0ODc2NjcifQ=="/>
  </w:docVars>
  <w:rsids>
    <w:rsidRoot w:val="6EFF37D8"/>
    <w:rsid w:val="01BD52CE"/>
    <w:rsid w:val="051E1003"/>
    <w:rsid w:val="056967DC"/>
    <w:rsid w:val="08086881"/>
    <w:rsid w:val="0AA71D14"/>
    <w:rsid w:val="0AB80F6F"/>
    <w:rsid w:val="0C5E25C1"/>
    <w:rsid w:val="0FDA1999"/>
    <w:rsid w:val="1118137D"/>
    <w:rsid w:val="11433AC4"/>
    <w:rsid w:val="15D26798"/>
    <w:rsid w:val="15FE276B"/>
    <w:rsid w:val="1952157A"/>
    <w:rsid w:val="19A27391"/>
    <w:rsid w:val="1A6D784E"/>
    <w:rsid w:val="1B122C8F"/>
    <w:rsid w:val="1BD619E1"/>
    <w:rsid w:val="1C0020C9"/>
    <w:rsid w:val="1D9568AF"/>
    <w:rsid w:val="1F4F25A2"/>
    <w:rsid w:val="21B76B88"/>
    <w:rsid w:val="271C4F7F"/>
    <w:rsid w:val="2E161CEA"/>
    <w:rsid w:val="2F49568C"/>
    <w:rsid w:val="3415225F"/>
    <w:rsid w:val="36F279A8"/>
    <w:rsid w:val="3DB75482"/>
    <w:rsid w:val="3F8244A2"/>
    <w:rsid w:val="40EC1570"/>
    <w:rsid w:val="41144211"/>
    <w:rsid w:val="418D57CB"/>
    <w:rsid w:val="442B6D54"/>
    <w:rsid w:val="450F1159"/>
    <w:rsid w:val="478B1DED"/>
    <w:rsid w:val="48283B4C"/>
    <w:rsid w:val="4BB24274"/>
    <w:rsid w:val="4EB41934"/>
    <w:rsid w:val="4EF17B65"/>
    <w:rsid w:val="4F5A685D"/>
    <w:rsid w:val="55F252B1"/>
    <w:rsid w:val="56F64D82"/>
    <w:rsid w:val="5B374165"/>
    <w:rsid w:val="5C736CD7"/>
    <w:rsid w:val="5D774788"/>
    <w:rsid w:val="60FE02E0"/>
    <w:rsid w:val="6133485E"/>
    <w:rsid w:val="61E34E77"/>
    <w:rsid w:val="629F11FC"/>
    <w:rsid w:val="65803331"/>
    <w:rsid w:val="67707412"/>
    <w:rsid w:val="67FC467C"/>
    <w:rsid w:val="693A22E9"/>
    <w:rsid w:val="695E0C9F"/>
    <w:rsid w:val="6C867476"/>
    <w:rsid w:val="6D30122F"/>
    <w:rsid w:val="6ED5059F"/>
    <w:rsid w:val="6EFF37D8"/>
    <w:rsid w:val="6F4E3081"/>
    <w:rsid w:val="6F5060C3"/>
    <w:rsid w:val="6F757DFD"/>
    <w:rsid w:val="744732CA"/>
    <w:rsid w:val="756916E1"/>
    <w:rsid w:val="775E0C4A"/>
    <w:rsid w:val="79D06808"/>
    <w:rsid w:val="7AF966F0"/>
    <w:rsid w:val="7BB26137"/>
    <w:rsid w:val="7EE6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13237</Words>
  <Characters>13273</Characters>
  <Lines>0</Lines>
  <Paragraphs>0</Paragraphs>
  <TotalTime>1</TotalTime>
  <ScaleCrop>false</ScaleCrop>
  <LinksUpToDate>false</LinksUpToDate>
  <CharactersWithSpaces>13356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2022-03-16T02:05:00Z</dcterms:created>
  <dc:creator>Administrator</dc:creator>
  <cp:lastModifiedBy>黄三喜</cp:lastModifiedBy>
  <dcterms:modified xsi:type="dcterms:W3CDTF">2022-07-14T08:30:54Z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DE710AD6CFC8461FA31682C8D5F0BFD1</vt:lpwstr>
  </property>
</Properties>
</file>