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line="30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新冠病毒核酸检测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  <w:t>价格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标准表</w:t>
      </w: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tbl>
      <w:tblPr>
        <w:tblStyle w:val="3"/>
        <w:tblpPr w:leftFromText="180" w:rightFromText="180" w:vertAnchor="text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2"/>
        <w:gridCol w:w="1639"/>
        <w:gridCol w:w="3967"/>
        <w:gridCol w:w="1344"/>
        <w:gridCol w:w="1313"/>
        <w:gridCol w:w="139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9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47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49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最高价格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76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</w:trPr>
        <w:tc>
          <w:tcPr>
            <w:tcW w:w="28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新冠病毒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核酸检测</w:t>
            </w:r>
          </w:p>
        </w:tc>
        <w:tc>
          <w:tcPr>
            <w:tcW w:w="1399" w:type="pct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样本类型：各种标本。样本采集、交接、签收、处理（根据标本类型不同进行相应的前处理），提取模板RNA，与阴、阳性对照及质控品同时进行实时扩增，分析扩增产物，判断并审核结果，录入实验室信息系统或人工登记，发送报告；按规定处理废弃物；接受临床相关咨询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474" w:type="pct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人份</w:t>
            </w:r>
          </w:p>
        </w:tc>
        <w:tc>
          <w:tcPr>
            <w:tcW w:w="49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62" w:type="pct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根据疫情需要，按照市卫健部门技术要求和标准实施混合检测时，每样本按不高于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元收费。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DJjNTFhZDQ1MDg2ZjYyMGU0M2U3YTNlMjA4NWEifQ=="/>
  </w:docVars>
  <w:rsids>
    <w:rsidRoot w:val="11F369E7"/>
    <w:rsid w:val="11F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2022-07-19T07:05:00Z</dcterms:created>
  <dc:creator>tech-winning</dc:creator>
  <cp:lastModifiedBy>tech-winning</cp:lastModifiedBy>
  <dcterms:modified xsi:type="dcterms:W3CDTF">2022-07-19T07:06:44Z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8118754D1526405B90D6D3CB676F2494</vt:lpwstr>
  </property>
</Properties>
</file>