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240" w:lineRule="atLeast"/>
        <w:jc w:val="center"/>
        <w:rPr>
          <w:rFonts w:ascii="方正小标宋_GBK" w:hAnsi="方正小标宋_GBK" w:eastAsia="方正小标宋_GBK" w:cs="方正小标宋_GBK"/>
          <w:bCs/>
          <w:color w:val="auto"/>
          <w:kern w:val="2"/>
          <w:sz w:val="44"/>
          <w:szCs w:val="44"/>
        </w:rPr>
      </w:pPr>
      <w:r>
        <w:rPr>
          <w:rFonts w:hint="eastAsia" w:ascii="方正小标宋简体" w:hAnsi="方正小标宋简体" w:eastAsia="方正小标宋简体" w:cs="方正小标宋简体"/>
          <w:bCs/>
          <w:color w:val="auto"/>
          <w:kern w:val="2"/>
          <w:sz w:val="44"/>
          <w:szCs w:val="44"/>
        </w:rPr>
        <w:t>吉林省“公立医疗机构经济管理年活动”进展情况表</w:t>
      </w:r>
    </w:p>
    <w:tbl>
      <w:tblPr>
        <w:tblW w:w="14459"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9"/>
        <w:gridCol w:w="1668"/>
        <w:gridCol w:w="2293"/>
        <w:gridCol w:w="810"/>
        <w:gridCol w:w="1620"/>
        <w:gridCol w:w="1515"/>
        <w:gridCol w:w="1410"/>
        <w:gridCol w:w="1455"/>
        <w:gridCol w:w="1560"/>
        <w:gridCol w:w="1527"/>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42" w:type="dxa"/>
          <w:trHeight w:val="600" w:hRule="atLeast"/>
          <w:jc w:val="center"/>
        </w:trPr>
        <w:tc>
          <w:tcPr>
            <w:tcW w:w="14317" w:type="dxa"/>
            <w:gridSpan w:val="10"/>
            <w:tcBorders>
              <w:top w:val="nil"/>
              <w:left w:val="nil"/>
              <w:bottom w:val="nil"/>
              <w:right w:val="nil"/>
            </w:tcBorders>
            <w:vAlign w:val="center"/>
          </w:tcPr>
          <w:p>
            <w:pPr>
              <w:adjustRightInd/>
              <w:snapToGrid/>
              <w:textAlignment w:val="auto"/>
              <w:rPr>
                <w:rFonts w:ascii="宋体" w:hAnsi="宋体" w:eastAsia="宋体" w:cs="宋体"/>
                <w:b/>
                <w:bCs/>
                <w:sz w:val="28"/>
                <w:szCs w:val="28"/>
              </w:rPr>
            </w:pPr>
            <w:r>
              <w:rPr>
                <w:rFonts w:hint="eastAsia" w:ascii="仿宋_GB2312" w:hAnsi="仿宋_GB2312" w:eastAsia="仿宋_GB2312" w:cs="仿宋_GB2312"/>
                <w:sz w:val="22"/>
                <w:szCs w:val="22"/>
              </w:rPr>
              <w:t xml:space="preserve">填报地区：                     填报人：                        联系电话：                        填报日期：2022年9月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5" w:hRule="atLeast"/>
          <w:jc w:val="center"/>
        </w:trPr>
        <w:tc>
          <w:tcPr>
            <w:tcW w:w="459"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序号</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医院名称</w:t>
            </w:r>
          </w:p>
        </w:tc>
        <w:tc>
          <w:tcPr>
            <w:tcW w:w="3103" w:type="dxa"/>
            <w:gridSpan w:val="2"/>
            <w:tcBorders>
              <w:top w:val="single" w:color="auto" w:sz="4" w:space="0"/>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问题整改情况</w:t>
            </w:r>
          </w:p>
        </w:tc>
        <w:tc>
          <w:tcPr>
            <w:tcW w:w="4545" w:type="dxa"/>
            <w:gridSpan w:val="3"/>
            <w:tcBorders>
              <w:top w:val="single" w:color="auto" w:sz="4" w:space="0"/>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制度建设情况</w:t>
            </w:r>
          </w:p>
        </w:tc>
        <w:tc>
          <w:tcPr>
            <w:tcW w:w="3015" w:type="dxa"/>
            <w:gridSpan w:val="2"/>
            <w:tcBorders>
              <w:top w:val="single" w:color="auto" w:sz="4" w:space="0"/>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运营管理实施情况</w:t>
            </w:r>
          </w:p>
        </w:tc>
        <w:tc>
          <w:tcPr>
            <w:tcW w:w="1669" w:type="dxa"/>
            <w:gridSpan w:val="2"/>
            <w:tcBorders>
              <w:top w:val="single" w:color="auto" w:sz="4" w:space="0"/>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强化监管情况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73" w:hRule="atLeast"/>
          <w:jc w:val="center"/>
        </w:trPr>
        <w:tc>
          <w:tcPr>
            <w:tcW w:w="45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2293"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pacing w:val="-6"/>
                <w:sz w:val="22"/>
                <w:szCs w:val="22"/>
              </w:rPr>
              <w:t>2020年以来各类监管工作发现的经济管理和经济行为问题</w:t>
            </w:r>
          </w:p>
        </w:tc>
        <w:tc>
          <w:tcPr>
            <w:tcW w:w="81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整改情况</w:t>
            </w:r>
            <w:r>
              <w:rPr>
                <w:rFonts w:hint="eastAsia" w:ascii="仿宋_GB2312" w:hAnsi="仿宋_GB2312" w:eastAsia="仿宋_GB2312" w:cs="仿宋_GB2312"/>
                <w:sz w:val="22"/>
                <w:szCs w:val="22"/>
              </w:rPr>
              <w:br/>
            </w:r>
            <w:r>
              <w:rPr>
                <w:rFonts w:hint="eastAsia" w:ascii="仿宋_GB2312" w:hAnsi="仿宋_GB2312" w:eastAsia="仿宋_GB2312" w:cs="仿宋_GB2312"/>
                <w:sz w:val="22"/>
                <w:szCs w:val="22"/>
              </w:rPr>
              <w:t>（是/否）</w:t>
            </w:r>
          </w:p>
        </w:tc>
        <w:tc>
          <w:tcPr>
            <w:tcW w:w="162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建立运营管理组织框架和各项规章制度    （是/否）</w:t>
            </w:r>
          </w:p>
        </w:tc>
        <w:tc>
          <w:tcPr>
            <w:tcW w:w="1515"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建立“公立医院经济运行风险”自查、评估制度      （是/否）</w:t>
            </w:r>
          </w:p>
        </w:tc>
        <w:tc>
          <w:tcPr>
            <w:tcW w:w="141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建立“公立医院经济运行风险”清单   </w:t>
            </w:r>
          </w:p>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455"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制定运营管理年度目标和计划      （是/否）</w:t>
            </w:r>
          </w:p>
        </w:tc>
        <w:tc>
          <w:tcPr>
            <w:tcW w:w="156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选取至少1个运营管理事项作为业财融合试点项目    （是/否）</w:t>
            </w:r>
          </w:p>
        </w:tc>
        <w:tc>
          <w:tcPr>
            <w:tcW w:w="1669" w:type="dxa"/>
            <w:gridSpan w:val="2"/>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是否设置独立的内审部门及配备审计人员       （是/否）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5" w:hRule="atLeast"/>
          <w:jc w:val="center"/>
        </w:trPr>
        <w:tc>
          <w:tcPr>
            <w:tcW w:w="459" w:type="dxa"/>
            <w:tcBorders>
              <w:top w:val="nil"/>
              <w:left w:val="single" w:color="auto" w:sz="4" w:space="0"/>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668"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XXX医院</w:t>
            </w:r>
          </w:p>
        </w:tc>
        <w:tc>
          <w:tcPr>
            <w:tcW w:w="2293"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例如：XX医保局物价检查工作提出：存在患者多收取费用的问题。</w:t>
            </w:r>
          </w:p>
        </w:tc>
        <w:tc>
          <w:tcPr>
            <w:tcW w:w="81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62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515"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41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455"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560" w:type="dxa"/>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c>
          <w:tcPr>
            <w:tcW w:w="1669" w:type="dxa"/>
            <w:gridSpan w:val="2"/>
            <w:tcBorders>
              <w:top w:val="nil"/>
              <w:left w:val="nil"/>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459" w:type="dxa"/>
            <w:tcBorders>
              <w:top w:val="nil"/>
              <w:left w:val="single" w:color="auto" w:sz="4" w:space="0"/>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668"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2293"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81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62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515"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41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455"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56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669" w:type="dxa"/>
            <w:gridSpan w:val="2"/>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459" w:type="dxa"/>
            <w:tcBorders>
              <w:top w:val="nil"/>
              <w:left w:val="single" w:color="auto" w:sz="4" w:space="0"/>
              <w:bottom w:val="single" w:color="auto" w:sz="4" w:space="0"/>
              <w:right w:val="single" w:color="auto" w:sz="4" w:space="0"/>
            </w:tcBorders>
            <w:vAlign w:val="center"/>
          </w:tcPr>
          <w:p>
            <w:pPr>
              <w:adjustRightInd/>
              <w:snapToGrid/>
              <w:jc w:val="center"/>
              <w:textAlignment w:val="auto"/>
              <w:rPr>
                <w:rFonts w:ascii="仿宋_GB2312" w:hAnsi="仿宋_GB2312" w:eastAsia="仿宋_GB2312" w:cs="仿宋_GB2312"/>
                <w:sz w:val="22"/>
                <w:szCs w:val="22"/>
              </w:rPr>
            </w:pPr>
          </w:p>
        </w:tc>
        <w:tc>
          <w:tcPr>
            <w:tcW w:w="1668"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2293"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81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62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515"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41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455"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560" w:type="dxa"/>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c>
          <w:tcPr>
            <w:tcW w:w="1669" w:type="dxa"/>
            <w:gridSpan w:val="2"/>
            <w:tcBorders>
              <w:top w:val="nil"/>
              <w:left w:val="nil"/>
              <w:bottom w:val="single" w:color="auto" w:sz="4" w:space="0"/>
              <w:right w:val="single" w:color="auto" w:sz="4" w:space="0"/>
            </w:tcBorders>
            <w:vAlign w:val="center"/>
          </w:tcPr>
          <w:p>
            <w:pPr>
              <w:adjustRightInd/>
              <w:snapToGrid/>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42" w:type="dxa"/>
          <w:trHeight w:val="1350" w:hRule="atLeast"/>
          <w:jc w:val="center"/>
        </w:trPr>
        <w:tc>
          <w:tcPr>
            <w:tcW w:w="14317" w:type="dxa"/>
            <w:gridSpan w:val="10"/>
            <w:tcBorders>
              <w:top w:val="nil"/>
              <w:left w:val="nil"/>
              <w:bottom w:val="nil"/>
              <w:right w:val="nil"/>
            </w:tcBorders>
            <w:vAlign w:val="center"/>
          </w:tcPr>
          <w:p>
            <w:pPr>
              <w:adjustRightInd/>
              <w:snapToGrid/>
              <w:ind w:left="650" w:hanging="650" w:hangingChars="20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注：1.该表填写截止至2022年9月1日经济管理年活动进展情况。                                                                        </w:t>
            </w:r>
          </w:p>
          <w:p>
            <w:pPr>
              <w:adjustRightInd/>
              <w:snapToGrid/>
              <w:ind w:left="650" w:hanging="650" w:hangingChars="20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2.请各医院结合实际工作情况填报，相关佐证材料做好留存备查。</w:t>
            </w:r>
          </w:p>
          <w:p>
            <w:pPr>
              <w:adjustRightInd/>
              <w:snapToGrid/>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3.此表各地区汇总后报送委（局）财务处，省属预算公立医院直接报送委（局）财务处。                                                                   </w:t>
            </w:r>
          </w:p>
        </w:tc>
      </w:tr>
    </w:tbl>
    <w:p>
      <w:pPr>
        <w:spacing w:before="128" w:line="240" w:lineRule="atLeast"/>
        <w:rPr>
          <w:rFonts w:ascii="仿宋" w:hAnsi="仿宋" w:eastAsia="仿宋" w:cs="仿宋"/>
          <w:spacing w:val="-14"/>
          <w:w w:val="92"/>
          <w:sz w:val="32"/>
          <w:szCs w:val="32"/>
        </w:rPr>
      </w:pPr>
    </w:p>
    <w:p>
      <w:pPr>
        <w:spacing w:before="128" w:line="240" w:lineRule="atLeast"/>
        <w:rPr>
          <w:rFonts w:ascii="黑体" w:hAnsi="黑体" w:eastAsia="黑体" w:cs="黑体"/>
          <w:sz w:val="32"/>
          <w:szCs w:val="32"/>
        </w:rPr>
      </w:pPr>
      <w:r>
        <w:rPr>
          <w:rFonts w:hint="eastAsia" w:ascii="黑体" w:hAnsi="黑体" w:eastAsia="黑体" w:cs="黑体"/>
          <w:sz w:val="32"/>
          <w:szCs w:val="32"/>
        </w:rPr>
        <w:t>附件2</w:t>
      </w:r>
    </w:p>
    <w:p>
      <w:pPr>
        <w:spacing w:line="240" w:lineRule="atLeast"/>
        <w:jc w:val="center"/>
        <w:rPr>
          <w:rFonts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吉林省“公立医疗机构经济管理年”活动自评表</w:t>
      </w:r>
    </w:p>
    <w:p>
      <w:pPr>
        <w:spacing w:line="240" w:lineRule="atLeast"/>
        <w:jc w:val="center"/>
        <w:rPr>
          <w:rFonts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（卫生健康行政部门、中医药主管部门）</w:t>
      </w:r>
    </w:p>
    <w:p>
      <w:pPr>
        <w:adjustRightInd/>
        <w:snapToGrid/>
        <w:ind w:firstLine="325" w:firstLineChars="100"/>
        <w:jc w:val="both"/>
        <w:textAlignment w:val="auto"/>
        <w:rPr>
          <w:rFonts w:ascii="宋体" w:hAnsi="宋体" w:eastAsia="宋体" w:cs="宋体"/>
          <w:b/>
          <w:bCs/>
          <w:sz w:val="28"/>
          <w:szCs w:val="28"/>
        </w:rPr>
      </w:pPr>
      <w:r>
        <w:rPr>
          <w:rFonts w:hint="eastAsia" w:ascii="仿宋_GB2312" w:hAnsi="仿宋_GB2312" w:eastAsia="仿宋_GB2312" w:cs="仿宋_GB2312"/>
          <w:sz w:val="22"/>
          <w:szCs w:val="22"/>
        </w:rPr>
        <w:t xml:space="preserve">填报地区：              填报人：                        联系电话：                          填报日期：2022年9月  日 </w:t>
      </w:r>
      <w:r>
        <w:rPr>
          <w:rFonts w:hint="eastAsia" w:ascii="宋体" w:hAnsi="宋体" w:eastAsia="宋体" w:cs="宋体"/>
          <w:b/>
          <w:bCs/>
          <w:sz w:val="28"/>
          <w:szCs w:val="28"/>
        </w:rPr>
        <w:t xml:space="preserve">  </w:t>
      </w:r>
    </w:p>
    <w:tbl>
      <w:tblPr>
        <w:tblW w:w="14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65"/>
        <w:gridCol w:w="4115"/>
        <w:gridCol w:w="391"/>
        <w:gridCol w:w="2669"/>
        <w:gridCol w:w="219"/>
        <w:gridCol w:w="4094"/>
        <w:gridCol w:w="106"/>
        <w:gridCol w:w="744"/>
        <w:gridCol w:w="681"/>
        <w:gridCol w:w="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545" w:hRule="atLeast"/>
          <w:jc w:val="center"/>
        </w:trPr>
        <w:tc>
          <w:tcPr>
            <w:tcW w:w="12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506"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2888"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200"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44"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681"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660" w:hRule="atLeast"/>
          <w:jc w:val="center"/>
        </w:trPr>
        <w:tc>
          <w:tcPr>
            <w:tcW w:w="12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1.组织管理</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1.1是否制定本辖区内“经济管理年”活动方案（或工作计划） 并落实有关措施、办法。</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本辖区“经济管理年”活动方案或工作计划书。</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制定活动方案（或工作计划）并落实得3分，未制定不得分，已制定未落实得1分.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70" w:type="dxa"/>
          <w:trHeight w:val="105"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1.2是否明确“经济管理年”活动组织责任分工及管理要求。</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本地区“经济管理年”活动分工及责任划分细则。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明确分工及责任划分得3分，未明确不得分。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570"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1.3是否开展经济管理年活动的内容解读、宣传或经验交流工作。</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相关宣传、工作经验交流，简报简讯等材料。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开展内容解读、宣传或经验交流工作得3分，未开展任何形式的相关工作不得分。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687"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1.4是否组织开展经济管理人才专题培训会、工作调度会或各类知识竞赛等，提高经济管理内容知晓率。</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会议培训资料、会议新闻等材料。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通过多种形式提高经济管理内容知晓率得3分，未开展过任何相关活动不得分。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70" w:type="dxa"/>
          <w:trHeight w:val="757"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1.5督促指导辖区市（区、县）进行经济管理年相关工作，推进任务开展。</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巳开展督促指导工作得3分，未开展任何相关活动不得分。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961" w:hRule="atLeast"/>
          <w:jc w:val="center"/>
        </w:trPr>
        <w:tc>
          <w:tcPr>
            <w:tcW w:w="12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 .问题 整改</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2.1是否梳理总结此前各类监管部门检查发现的本级公立医疗机构的经济管理、经济行为方面存在的问题，并及时开展整改工作。 </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（1）2020年以来各类监管工作发现的经济管理、经济行为等问题清单；（2）问题已整改落实证明材料。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建立区域内公立医疗机构经济管理、经济行为等问题清单得3分，否则不得分；问题整改得分=整改率*7分，整改率=已整改问题/需整改问题总数。</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70" w:type="dxa"/>
          <w:trHeight w:val="760"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506"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2.3是否督促、指导下级卫生健康行政部门及公立医疗机构，将各项检查中发现的经济管理方面问题及时改正。</w:t>
            </w:r>
          </w:p>
        </w:tc>
        <w:tc>
          <w:tcPr>
            <w:tcW w:w="2888"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20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已开展督促指导工作得5分，未开展任何活动不得分。</w:t>
            </w:r>
          </w:p>
        </w:tc>
        <w:tc>
          <w:tcPr>
            <w:tcW w:w="744"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68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jc w:val="center"/>
        </w:trPr>
        <w:tc>
          <w:tcPr>
            <w:tcW w:w="12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1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313"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51"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75" w:hRule="atLeast"/>
          <w:jc w:val="center"/>
        </w:trPr>
        <w:tc>
          <w:tcPr>
            <w:tcW w:w="12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3.防范经济运行风险</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411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3.1积极推进防范公立医院经济运行风险。</w:t>
            </w:r>
          </w:p>
        </w:tc>
        <w:tc>
          <w:tcPr>
            <w:tcW w:w="306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指导本辖区公立医院建立经济运行风险防范方案（制度）和管理机制得5分，否则不得分。</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22"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1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3.2是否督促、指导辖区内公立医院对经济运行中的重点风险提出有效措施，协助公立医院化解风险。</w:t>
            </w:r>
          </w:p>
        </w:tc>
        <w:tc>
          <w:tcPr>
            <w:tcW w:w="306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督促、指导辖区内公立医院对经济运行中的重点风险提出有效措施得5分，否则不得分；协助公立医院化解风险得5分，否则不得分。</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75" w:hRule="atLeast"/>
          <w:jc w:val="center"/>
        </w:trPr>
        <w:tc>
          <w:tcPr>
            <w:tcW w:w="12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4.推进公立医院运营管理体系建设</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（20分）</w:t>
            </w:r>
          </w:p>
        </w:tc>
        <w:tc>
          <w:tcPr>
            <w:tcW w:w="411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4.1积极推进公立医院运营管理体系建设。</w:t>
            </w:r>
          </w:p>
        </w:tc>
        <w:tc>
          <w:tcPr>
            <w:tcW w:w="306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指导本辖区公立医院建立运营管理建设方案（或工作计划）并落实得5分，未指导不得分。</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75"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1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4.2是否督促、指导辖区市（区、县）公立医院运营管理体系建设相关工作，推进任务开展。</w:t>
            </w:r>
          </w:p>
        </w:tc>
        <w:tc>
          <w:tcPr>
            <w:tcW w:w="3060"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gridSpan w:val="2"/>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巳开展督促指导工作得5分，未开展任何相关活动不得分。</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95" w:hRule="atLeast"/>
          <w:jc w:val="center"/>
        </w:trPr>
        <w:tc>
          <w:tcPr>
            <w:tcW w:w="1265"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1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4.3完成辖区内三级医院运营管理体系建设全覆盖。（2022年底自评任务）；  完成辖区内二级医院运营管理体系建设全覆盖。（2023年底自评任务）。</w:t>
            </w:r>
          </w:p>
        </w:tc>
        <w:tc>
          <w:tcPr>
            <w:tcW w:w="3060" w:type="dxa"/>
            <w:gridSpan w:val="2"/>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gridSpan w:val="2"/>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此项得分=覆盖率*分值 。                 覆盖率=已完成机构（三级或二级）/机构（三级或二级）总数。                        </w:t>
            </w:r>
          </w:p>
        </w:tc>
        <w:tc>
          <w:tcPr>
            <w:tcW w:w="850" w:type="dxa"/>
            <w:gridSpan w:val="2"/>
            <w:tcBorders>
              <w:top w:val="nil"/>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51" w:type="dxa"/>
            <w:gridSpan w:val="2"/>
            <w:tcBorders>
              <w:top w:val="nil"/>
              <w:left w:val="single" w:color="auto" w:sz="4" w:space="0"/>
              <w:bottom w:val="single" w:color="000000"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bl>
    <w:p>
      <w:pPr>
        <w:spacing w:before="128" w:line="560" w:lineRule="exact"/>
        <w:rPr>
          <w:rFonts w:ascii="仿宋" w:hAnsi="仿宋" w:eastAsia="仿宋" w:cs="仿宋"/>
          <w:spacing w:val="-14"/>
          <w:w w:val="92"/>
          <w:sz w:val="32"/>
          <w:szCs w:val="32"/>
        </w:rPr>
      </w:pPr>
    </w:p>
    <w:tbl>
      <w:tblPr>
        <w:tblW w:w="14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1"/>
        <w:gridCol w:w="4109"/>
        <w:gridCol w:w="3060"/>
        <w:gridCol w:w="4313"/>
        <w:gridCol w:w="85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0" w:hRule="atLeast"/>
          <w:jc w:val="center"/>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313"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7"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5.推进业财融合实施</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（20 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5.1采取有关举措和方法，推动业财融合发展。</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指导辖区公立医院采取相关举措或办法，推动业财融合发展得5分，否则不得分。</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7"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5.2辖区内公立医疗机构，每机构完成不少于一项业财融合试点项目。</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此项得分=完成率*分值  。                完成率=已完成机构/机构总数。</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87"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5.3辖区内三级公立医院设立总会计师比例（%）。</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财务年报</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此项得分=完成率*分值  。                完成率=已完成机构/机构总数。</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2"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5.4开展业务、财务数据综合管理、分析和应用，推进信息化建设。</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相关文件、数据报表、业务数据与财务数据相结合的分析报告等。</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实现业务、财务数据综合管理和应用得5分，未实现不得分。</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06"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6.改革创新强化监管，健全长效机制（15分）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6.1是否认真落实深化医改任务要求，采取切实有效的措施，维护公立医疗卫生机构公益属性，推动公立医疗机构高质量发展。</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出台相关文件，认真落实深化医改任务要求，维护公立医疗卫生机构公益属性，推动公立医疗机构高质量发展得5分，否则不得分。</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88"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6.2是否按照国家卫健委16号令和审计署 11号令，设置独立的内部审计机构，配备专职内部审计人员，每年开展审计工作。</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相关文件、审计计划、审计报告等材料。</w:t>
            </w:r>
          </w:p>
        </w:tc>
        <w:tc>
          <w:tcPr>
            <w:tcW w:w="4313"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已设置独立内审机构并配备专职人员，制定年度审计计划、开展审计工作的，得5分；未设置独立内审机构但配备专职人员制定年度审计计划、开展审计工作的，得3分；未配备专职人员，但制定年度审计计划、开展审计工作的，得2分；否则不得分。</w:t>
            </w:r>
          </w:p>
        </w:tc>
        <w:tc>
          <w:tcPr>
            <w:tcW w:w="85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bl>
    <w:p>
      <w:pPr>
        <w:widowControl w:val="0"/>
        <w:overflowPunct w:val="0"/>
        <w:textAlignment w:val="auto"/>
        <w:rPr>
          <w:rFonts w:ascii="仿宋_GB2312" w:hAnsi="仿宋_GB2312" w:eastAsia="仿宋_GB2312" w:cs="仿宋_GB2312"/>
          <w:sz w:val="22"/>
          <w:szCs w:val="22"/>
        </w:rPr>
      </w:pPr>
    </w:p>
    <w:tbl>
      <w:tblPr>
        <w:tblW w:w="14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1"/>
        <w:gridCol w:w="4046"/>
        <w:gridCol w:w="3024"/>
        <w:gridCol w:w="4402"/>
        <w:gridCol w:w="86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0" w:hRule="atLeast"/>
          <w:jc w:val="center"/>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046"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24"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02"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8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6" w:hRule="atLeast"/>
          <w:jc w:val="center"/>
        </w:trPr>
        <w:tc>
          <w:tcPr>
            <w:tcW w:w="1271" w:type="dxa"/>
            <w:tcBorders>
              <w:top w:val="nil"/>
              <w:left w:val="single" w:color="auto" w:sz="4" w:space="0"/>
              <w:bottom w:val="single" w:color="000000"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046"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6.3是否利用信息化手段在辖区内开展监督活动，健全长效监管机制。</w:t>
            </w:r>
          </w:p>
        </w:tc>
        <w:tc>
          <w:tcPr>
            <w:tcW w:w="3024"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02"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利用信息化手段开展监督活动得5分，未实现不得分。</w:t>
            </w:r>
          </w:p>
        </w:tc>
        <w:tc>
          <w:tcPr>
            <w:tcW w:w="8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5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22" w:hRule="atLeast"/>
          <w:jc w:val="center"/>
        </w:trPr>
        <w:tc>
          <w:tcPr>
            <w:tcW w:w="1274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8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85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0" w:hRule="atLeast"/>
          <w:jc w:val="center"/>
        </w:trPr>
        <w:tc>
          <w:tcPr>
            <w:tcW w:w="1271" w:type="dxa"/>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046"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24"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02"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8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5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77" w:hRule="atLeast"/>
          <w:jc w:val="center"/>
        </w:trPr>
        <w:tc>
          <w:tcPr>
            <w:tcW w:w="531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加分项：典型亮点、做法。</w:t>
            </w:r>
          </w:p>
        </w:tc>
        <w:tc>
          <w:tcPr>
            <w:tcW w:w="3024"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详细案例材料、宣传材料、会议 交流材料等。</w:t>
            </w:r>
          </w:p>
        </w:tc>
        <w:tc>
          <w:tcPr>
            <w:tcW w:w="4402"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经济管理年期间，总结本地区在全面提升公立医疗机构经济管理水平、提质增效、强化监管等方面的地区（县、区）或机构亮点及典型经验案例，并得到国家卫生健康委、国家中医药局、省卫健委、省中医药局确认或纳入案例库，每个1分，最高得4分；在国家或省级主流媒体进行经验和成效的宣传与推广，或在国家级、省级会议上作经验交流发言，每个 2分，最多得6分。</w:t>
            </w:r>
          </w:p>
        </w:tc>
        <w:tc>
          <w:tcPr>
            <w:tcW w:w="8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5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85" w:hRule="atLeast"/>
          <w:jc w:val="center"/>
        </w:trPr>
        <w:tc>
          <w:tcPr>
            <w:tcW w:w="1274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总分</w:t>
            </w:r>
          </w:p>
        </w:tc>
        <w:tc>
          <w:tcPr>
            <w:tcW w:w="8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110</w:t>
            </w:r>
          </w:p>
        </w:tc>
        <w:tc>
          <w:tcPr>
            <w:tcW w:w="85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bl>
    <w:p>
      <w:pPr>
        <w:spacing w:before="128" w:line="560" w:lineRule="exact"/>
        <w:rPr>
          <w:rFonts w:ascii="仿宋" w:hAnsi="仿宋" w:eastAsia="仿宋" w:cs="仿宋"/>
          <w:spacing w:val="-14"/>
          <w:w w:val="92"/>
          <w:sz w:val="32"/>
          <w:szCs w:val="32"/>
        </w:rPr>
      </w:pPr>
    </w:p>
    <w:p>
      <w:pPr>
        <w:spacing w:before="128" w:line="560" w:lineRule="exact"/>
        <w:rPr>
          <w:rFonts w:ascii="仿宋" w:hAnsi="仿宋" w:eastAsia="仿宋" w:cs="仿宋"/>
          <w:spacing w:val="-14"/>
          <w:w w:val="92"/>
          <w:sz w:val="32"/>
          <w:szCs w:val="32"/>
        </w:rPr>
      </w:pPr>
    </w:p>
    <w:p>
      <w:pPr>
        <w:spacing w:before="128" w:line="240" w:lineRule="atLeast"/>
        <w:rPr>
          <w:rFonts w:ascii="黑体" w:hAnsi="黑体" w:eastAsia="黑体" w:cs="黑体"/>
          <w:sz w:val="32"/>
          <w:szCs w:val="32"/>
        </w:rPr>
      </w:pPr>
      <w:r>
        <w:rPr>
          <w:rFonts w:hint="eastAsia" w:ascii="黑体" w:hAnsi="黑体" w:eastAsia="黑体" w:cs="黑体"/>
          <w:sz w:val="32"/>
          <w:szCs w:val="32"/>
        </w:rPr>
        <w:t>附件3</w:t>
      </w:r>
    </w:p>
    <w:p>
      <w:pPr>
        <w:spacing w:line="240" w:lineRule="atLeast"/>
        <w:jc w:val="center"/>
        <w:rPr>
          <w:rFonts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吉林省2022年“公立医疗机构经济管理年”活动自评表</w:t>
      </w:r>
    </w:p>
    <w:p>
      <w:pPr>
        <w:spacing w:line="240" w:lineRule="atLeast"/>
        <w:jc w:val="center"/>
        <w:rPr>
          <w:rFonts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（公立医院）</w:t>
      </w:r>
    </w:p>
    <w:p>
      <w:pPr>
        <w:adjustRightInd/>
        <w:snapToGrid/>
        <w:ind w:firstLine="325" w:firstLineChars="100"/>
        <w:jc w:val="both"/>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填报地区：                    填报人：                     联系电话：                          填报日期：2022年9月  日   </w:t>
      </w:r>
    </w:p>
    <w:tbl>
      <w:tblPr>
        <w:tblW w:w="14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1"/>
        <w:gridCol w:w="4109"/>
        <w:gridCol w:w="3060"/>
        <w:gridCol w:w="4455"/>
        <w:gridCol w:w="708"/>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0" w:hRule="atLeast"/>
          <w:jc w:val="center"/>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46"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0" w:hRule="atLeast"/>
          <w:jc w:val="center"/>
        </w:trPr>
        <w:tc>
          <w:tcPr>
            <w:tcW w:w="12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 .组织   管理</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1.1一把手牵头研究部署“经济管理年”活动，制定本单位实施方案并有效落实。</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会议纪要和工作方案。</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一把手牵头负责，会议专题研究部署得2分，否则不得分；方案制定并落实得1分，否则不得分。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846"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43" w:hRule="atLeast"/>
          <w:jc w:val="center"/>
        </w:trPr>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1.2是否明确业务及管理部门“经济管理年”活动组织分工及责任。</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“经济管理年”活动分工及责任划分细则。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体现多部门共同参与，部门分工及责任划分明确得2分，否则不得分。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17" w:hRule="atLeast"/>
          <w:jc w:val="center"/>
        </w:trPr>
        <w:tc>
          <w:tcPr>
            <w:tcW w:w="12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2.问题  整改</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2.1针对2020年以来各类监管部门检查发现的本单位经济管理、经济行为方面存在的问题，并及时开展整改工作。 </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（1）2020年以来各类监管工作发现的经济管理和经济行为等问题清单；（2）问题已整改落实证明材料。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建立本单位经济管理、经济行为等问题清单得3分，否则不得分；问题整改得分=整改率*7分，整改率=已整改问题/需整改问题总数。</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46"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5" w:hRule="atLeast"/>
          <w:jc w:val="center"/>
        </w:trPr>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2.2针对整改问题，梳理原因，建章立制。</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已针对整改问题建章立制得5分，否则不得分。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46"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bl>
    <w:p>
      <w:pPr>
        <w:spacing w:before="128" w:line="560" w:lineRule="exact"/>
        <w:rPr>
          <w:rFonts w:ascii="仿宋" w:hAnsi="仿宋" w:eastAsia="仿宋" w:cs="仿宋"/>
          <w:spacing w:val="-14"/>
          <w:w w:val="92"/>
          <w:sz w:val="32"/>
          <w:szCs w:val="32"/>
        </w:rPr>
      </w:pPr>
    </w:p>
    <w:tbl>
      <w:tblPr>
        <w:tblW w:w="1447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1"/>
        <w:gridCol w:w="4109"/>
        <w:gridCol w:w="3060"/>
        <w:gridCol w:w="4455"/>
        <w:gridCol w:w="708"/>
        <w:gridCol w:w="709"/>
        <w:gridCol w:w="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876"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12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3.防范经济运行风险</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（20分）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3.1是否建立“公立医院经济运行风险”自查、评估机制。是否根据自查、评估结果建立“公立医院经济运行风险”清单，并定期对已经识别的风险进行重新评估。</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建立并完善本单位经济运行风险自查方案（制度）得2分，否则不得分。建立“公立医院经济运行风险”清单得4分，否则不得分。定期对已经识别的风险进行重新评估，得4分，否则不得分。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76"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3" w:hRule="atLeast"/>
        </w:trPr>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3.2是否对本单位经济运行风险点进行梳理，针对重点风险，提出化解方案并实施。并对风险管理结果进行评价。</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针对重点风险提出解决措施或化解方案并实施得5分，否则不得分；对风险管理结果进行评价得5分；否则不得分。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76"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5"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4.推进公立医院运营管理体系建设</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（25分）</w:t>
            </w: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4.1完善本单位运营管理体系建设。是否设立医院运营管理委员会；是否完善运营管理组织框架和各项规章制度；</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会议纪要、制度文件和工作材料。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设立医院运营管理委员会得2分；否则不得分；完善运营管理组织框架和各项规章制度得3分；否则不得分。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76"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19" w:hRule="atLeast"/>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4.2是否单独设置运营管理部门或牵头负责运营的内设机构，推行运营助理员加强医院内部运营建设。</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单独设置运营管理部门或牵头负责运营的内设机构，得2分；推行运营助理员加强医院内部运营建设得3分。未设置不得分。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76" w:type="dxa"/>
            <w:gridSpan w:val="2"/>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63" w:hRule="atLeast"/>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4.3是否根据本单位自查、自评情况制定运营管理年度目标和计划。并根据目标和计划实施。</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相关活动材料。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根据本单位自查、自评情况制定本单位运营管理年度目标和计划，得5分；否则不得分；并根据目标和计划实施得5分；否则不得分。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876"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93" w:hRule="atLeast"/>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4.4根据本单位运营管理相关制度，定期召开会议对单位运营管理进展、成果进行评估，并对偏差进行纠正。</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会议纪要与工作材料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定期对单位运营管理进展、成果进行评估，并对偏差进行纠正得5分，否则不得分。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876" w:type="dxa"/>
            <w:gridSpan w:val="2"/>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67" w:type="dxa"/>
          <w:trHeight w:val="6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67" w:type="dxa"/>
          <w:trHeight w:val="1861" w:hRule="atLeast"/>
        </w:trPr>
        <w:tc>
          <w:tcPr>
            <w:tcW w:w="12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5.推进业财融合实施</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（20分）</w:t>
            </w: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5.1医院至少选取1个运营管理事项作为业财融合试点项目，并对该项进行论证并实施。</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医院至少选取1个运营管理事项作为业财融合试点项目，并对该项进行论证并实施得5分，否则不得分。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09"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67" w:type="dxa"/>
          <w:trHeight w:val="1700" w:hRule="atLeast"/>
        </w:trPr>
        <w:tc>
          <w:tcPr>
            <w:tcW w:w="1271"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5.2医院运营管理的业财融合试点项目是否对医院产生了提质增效的作用。</w:t>
            </w:r>
          </w:p>
        </w:tc>
        <w:tc>
          <w:tcPr>
            <w:tcW w:w="3060" w:type="dxa"/>
            <w:tcBorders>
              <w:top w:val="nil"/>
              <w:left w:val="nil"/>
              <w:bottom w:val="nil"/>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医院运营管理的业财融合试点项目对医院产生了提质增效的作用得5分，否则不得分。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09"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67" w:type="dxa"/>
          <w:trHeight w:val="1257" w:hRule="atLeast"/>
        </w:trPr>
        <w:tc>
          <w:tcPr>
            <w:tcW w:w="1271"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5.3是否配备了总会计师。</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财务年报</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配备总会计师得5分，未配备不得分。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09"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67" w:type="dxa"/>
          <w:trHeight w:val="2413" w:hRule="atLeast"/>
        </w:trPr>
        <w:tc>
          <w:tcPr>
            <w:tcW w:w="1271"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09"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5.4定期开展医院业财融合综合信息分析，提升医院运营信息化建设水平。</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相关文件、数据报表、业务数据与财务数据相结合的分析报告等。</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定期对医院业财融合综合数据进行分析得2分，否则不得分；开展医院运营信息化建设得3分，未开展不得分。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09"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bl>
    <w:p>
      <w:pPr>
        <w:spacing w:before="128" w:line="560" w:lineRule="exact"/>
        <w:rPr>
          <w:rFonts w:ascii="仿宋" w:hAnsi="仿宋" w:eastAsia="仿宋" w:cs="仿宋"/>
          <w:spacing w:val="-14"/>
          <w:w w:val="92"/>
          <w:sz w:val="32"/>
          <w:szCs w:val="32"/>
        </w:rPr>
      </w:pPr>
    </w:p>
    <w:tbl>
      <w:tblPr>
        <w:tblW w:w="1437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64"/>
        <w:gridCol w:w="4116"/>
        <w:gridCol w:w="3060"/>
        <w:gridCol w:w="4455"/>
        <w:gridCol w:w="708"/>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0" w:hRule="atLeast"/>
        </w:trPr>
        <w:tc>
          <w:tcPr>
            <w:tcW w:w="12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16"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55"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771" w:type="dxa"/>
            <w:tcBorders>
              <w:top w:val="single" w:color="auto" w:sz="4" w:space="0"/>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88" w:hRule="atLeast"/>
        </w:trPr>
        <w:tc>
          <w:tcPr>
            <w:tcW w:w="1264" w:type="dxa"/>
            <w:vMerge w:val="restart"/>
            <w:tcBorders>
              <w:top w:val="nil"/>
              <w:left w:val="single" w:color="auto" w:sz="4" w:space="0"/>
              <w:right w:val="single" w:color="auto" w:sz="4" w:space="0"/>
            </w:tcBorders>
            <w:shd w:val="clear" w:color="000000" w:fill="FFFFFF"/>
            <w:vAlign w:val="center"/>
          </w:tcPr>
          <w:p>
            <w:pPr>
              <w:widowControl w:val="0"/>
              <w:overflowPunct w:val="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6.改革创新强化监管，健全长效机制</w:t>
            </w:r>
          </w:p>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4116"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6.1是否建立医院内部财务、物价、医务等多部门定期、联合检查机制。</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制订医院内部财务、物价、医务等多部门定期、联合检查制度得2分；实施多部门定期联合检查得3分，否则不得分。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7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1" w:hRule="atLeast"/>
        </w:trPr>
        <w:tc>
          <w:tcPr>
            <w:tcW w:w="1264" w:type="dxa"/>
            <w:vMerge w:val="continue"/>
            <w:tcBorders>
              <w:left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p>
        </w:tc>
        <w:tc>
          <w:tcPr>
            <w:tcW w:w="4116"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6.2是否按照国家卫健委16号令和审计署 11号令，设置独立的内部审计机构，配备专职内部审计人员，每年开展审计工作。</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相关文件、审计计划、审计 报告等材料。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已设置独立内审机构并配备专职人员，制定年度审计计划、开展审计工作的，得5分；未设置独立内审机构但配备专职人员制定年度审计计划、开展审计工作的，得3分；未配备专职人员，但制定年度审计计划、开展审计工作的，得2分；否则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7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4" w:hRule="atLeast"/>
        </w:trPr>
        <w:tc>
          <w:tcPr>
            <w:tcW w:w="1264" w:type="dxa"/>
            <w:vMerge w:val="continue"/>
            <w:tcBorders>
              <w:left w:val="single" w:color="auto" w:sz="4" w:space="0"/>
              <w:bottom w:val="single" w:color="000000" w:sz="4" w:space="0"/>
              <w:right w:val="single" w:color="auto" w:sz="4" w:space="0"/>
            </w:tcBorders>
            <w:shd w:val="clear" w:color="auto" w:fill="auto"/>
            <w:vAlign w:val="center"/>
          </w:tcPr>
          <w:p>
            <w:pPr>
              <w:widowControl w:val="0"/>
              <w:overflowPunct w:val="0"/>
              <w:textAlignment w:val="auto"/>
              <w:rPr>
                <w:rFonts w:ascii="仿宋_GB2312" w:hAnsi="仿宋_GB2312" w:eastAsia="仿宋_GB2312" w:cs="仿宋_GB2312"/>
                <w:sz w:val="22"/>
                <w:szCs w:val="22"/>
              </w:rPr>
            </w:pPr>
          </w:p>
        </w:tc>
        <w:tc>
          <w:tcPr>
            <w:tcW w:w="4116"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6.3是否利用信息化手段在本单位开展监督活动，健全长效监管机制。</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相关文件与工作材料。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利用信息化手段开展监督活动得5分，未实现不得分。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71" w:type="dxa"/>
            <w:tcBorders>
              <w:top w:val="nil"/>
              <w:left w:val="nil"/>
              <w:bottom w:val="single" w:color="auto" w:sz="4" w:space="0"/>
              <w:right w:val="single" w:color="auto" w:sz="4" w:space="0"/>
            </w:tcBorders>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0" w:hRule="atLeast"/>
        </w:trPr>
        <w:tc>
          <w:tcPr>
            <w:tcW w:w="128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77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5" w:hRule="atLeast"/>
        </w:trPr>
        <w:tc>
          <w:tcPr>
            <w:tcW w:w="1264" w:type="dxa"/>
            <w:tcBorders>
              <w:top w:val="nil"/>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一级指标</w:t>
            </w:r>
          </w:p>
        </w:tc>
        <w:tc>
          <w:tcPr>
            <w:tcW w:w="4116"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二级指标</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评分依据/支撑材料</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评分标准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分值</w:t>
            </w:r>
          </w:p>
        </w:tc>
        <w:tc>
          <w:tcPr>
            <w:tcW w:w="77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47" w:hRule="atLeast"/>
        </w:trPr>
        <w:tc>
          <w:tcPr>
            <w:tcW w:w="53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加分项：典型亮点、做法</w:t>
            </w:r>
          </w:p>
        </w:tc>
        <w:tc>
          <w:tcPr>
            <w:tcW w:w="3060"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详细案例材料、宣传材料、会议 交流材料等。</w:t>
            </w:r>
          </w:p>
        </w:tc>
        <w:tc>
          <w:tcPr>
            <w:tcW w:w="4455" w:type="dxa"/>
            <w:tcBorders>
              <w:top w:val="nil"/>
              <w:left w:val="nil"/>
              <w:bottom w:val="single" w:color="auto" w:sz="4" w:space="0"/>
              <w:right w:val="single" w:color="auto" w:sz="4" w:space="0"/>
            </w:tcBorders>
            <w:shd w:val="clear" w:color="000000" w:fill="FFFFFF"/>
            <w:vAlign w:val="center"/>
          </w:tcPr>
          <w:p>
            <w:pPr>
              <w:widowControl w:val="0"/>
              <w:overflowPunct w:val="0"/>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经济管理年期间，总结本单位在全面提升经济管理水平、提质增效、强化监管等方面的亮点及典型经验案例，并得到国家卫生健康委、国家中医药管理局、省卫健委、省中医药管理局确认或纳入案例库，每个1分，最高得4分；在国家或省级主流媒体进行经验和成效的宣传与推广，或在国家级、省级会议上作经验交流发言，每个2分，最多得6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77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2" w:hRule="atLeast"/>
        </w:trPr>
        <w:tc>
          <w:tcPr>
            <w:tcW w:w="128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总分</w:t>
            </w:r>
          </w:p>
        </w:tc>
        <w:tc>
          <w:tcPr>
            <w:tcW w:w="708"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110</w:t>
            </w:r>
          </w:p>
        </w:tc>
        <w:tc>
          <w:tcPr>
            <w:tcW w:w="771" w:type="dxa"/>
            <w:tcBorders>
              <w:top w:val="nil"/>
              <w:left w:val="nil"/>
              <w:bottom w:val="single" w:color="auto" w:sz="4" w:space="0"/>
              <w:right w:val="single" w:color="auto" w:sz="4" w:space="0"/>
            </w:tcBorders>
            <w:shd w:val="clear" w:color="000000" w:fill="FFFFFF"/>
            <w:vAlign w:val="center"/>
          </w:tcPr>
          <w:p>
            <w:pPr>
              <w:widowControl w:val="0"/>
              <w:overflowPunct w:val="0"/>
              <w:jc w:val="center"/>
              <w:textAlignment w:val="auto"/>
              <w:rPr>
                <w:rFonts w:ascii="仿宋_GB2312" w:hAnsi="仿宋_GB2312" w:eastAsia="仿宋_GB2312" w:cs="仿宋_GB2312"/>
                <w:sz w:val="22"/>
                <w:szCs w:val="22"/>
              </w:rPr>
            </w:pPr>
          </w:p>
        </w:tc>
      </w:tr>
    </w:tbl>
    <w:p>
      <w:pPr>
        <w:spacing w:line="560" w:lineRule="exact"/>
        <w:sectPr>
          <w:headerReference r:id="rId4" w:type="default"/>
          <w:footerReference r:id="rId5" w:type="default"/>
          <w:pgSz w:w="16840" w:h="11907" w:orient="landscape"/>
          <w:pgMar w:top="1587" w:right="850" w:bottom="1474" w:left="1474" w:header="850" w:footer="1417" w:gutter="0"/>
          <w:pgNumType w:fmt="numberInDash"/>
          <w:cols w:space="720" w:num="1"/>
          <w:docGrid w:type="linesAndChars" w:linePitch="579" w:charSpace="21504"/>
        </w:sectPr>
      </w:pPr>
    </w:p>
    <w:p>
      <w:pPr>
        <w:spacing w:before="69" w:line="560" w:lineRule="exact"/>
        <w:rPr>
          <w:rFonts w:ascii="黑体" w:hAnsi="黑体" w:eastAsia="黑体" w:cs="黑体"/>
          <w:sz w:val="32"/>
          <w:szCs w:val="32"/>
        </w:rPr>
      </w:pPr>
      <w:r>
        <w:rPr>
          <w:rFonts w:ascii="黑体" w:hAnsi="黑体" w:eastAsia="黑体" w:cs="黑体"/>
          <w:spacing w:val="10"/>
          <w:sz w:val="32"/>
          <w:szCs w:val="32"/>
        </w:rPr>
        <w:t>附件4</w:t>
      </w:r>
    </w:p>
    <w:p>
      <w:pPr>
        <w:spacing w:line="560" w:lineRule="exact"/>
        <w:jc w:val="center"/>
        <w:rPr>
          <w:rFonts w:ascii="方正小标宋简体" w:hAnsi="方正小标宋简体" w:eastAsia="方正小标宋简体" w:cs="方正小标宋简体"/>
          <w:bCs/>
          <w:color w:val="auto"/>
          <w:sz w:val="44"/>
          <w:szCs w:val="44"/>
        </w:rPr>
      </w:pP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吉林省“公立医疗机构经济管理年”</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活动自评报告参考框架</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（地区、医院）</w:t>
      </w:r>
    </w:p>
    <w:p>
      <w:pPr>
        <w:widowControl w:val="0"/>
        <w:spacing w:line="560" w:lineRule="exact"/>
        <w:rPr>
          <w:rFonts w:ascii="仿宋_GB2312" w:hAnsi="仿宋_GB2312" w:eastAsia="仿宋_GB2312" w:cs="仿宋_GB2312"/>
          <w:bCs/>
          <w:color w:val="auto"/>
          <w:sz w:val="32"/>
          <w:szCs w:val="32"/>
        </w:rPr>
      </w:pPr>
    </w:p>
    <w:p>
      <w:pPr>
        <w:widowControl w:val="0"/>
        <w:spacing w:before="1" w:line="560" w:lineRule="exact"/>
        <w:ind w:firstLine="85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一、组织落实情况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包括牵头组织落实情况、活动方案制定情况、文件解读与人员培训情况，以及指导、检查、评估等情况。</w:t>
      </w:r>
    </w:p>
    <w:p>
      <w:pPr>
        <w:widowControl w:val="0"/>
        <w:spacing w:before="1" w:line="560" w:lineRule="exact"/>
        <w:ind w:firstLine="85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二、具体开展情况</w:t>
      </w:r>
    </w:p>
    <w:p>
      <w:pPr>
        <w:spacing w:before="3" w:line="560" w:lineRule="exact"/>
        <w:ind w:right="5" w:firstLine="850" w:firstLineChars="200"/>
        <w:jc w:val="both"/>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（一）问题整改情况。</w:t>
      </w:r>
    </w:p>
    <w:p>
      <w:pPr>
        <w:spacing w:before="3" w:line="560" w:lineRule="exact"/>
        <w:ind w:right="5" w:firstLine="842" w:firstLineChars="200"/>
        <w:jc w:val="both"/>
        <w:rPr>
          <w:rFonts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rPr>
        <w:t>1.此前（国家级）相关部门检查中出现的主要问题梳理。</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2.此前（省级）相关部门检查中出现的主要问题梳理。</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3.此前（地方）相关部门检查中出现的主要问题梳理。</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4.落实整改情况</w:t>
      </w:r>
    </w:p>
    <w:p>
      <w:pPr>
        <w:spacing w:before="3" w:line="560" w:lineRule="exact"/>
        <w:ind w:right="5" w:firstLine="850" w:firstLineChars="200"/>
        <w:jc w:val="both"/>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（二）防范经济运行风险情况。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1.经济运行中的风险自查、评估情况。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2.经济运行中的重点风险解决情况。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3.对风险管理结果进行评价。</w:t>
      </w:r>
    </w:p>
    <w:p>
      <w:pPr>
        <w:spacing w:before="3" w:line="560" w:lineRule="exact"/>
        <w:ind w:right="5" w:firstLine="850" w:firstLineChars="200"/>
        <w:jc w:val="both"/>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（三）运营体系建设情况。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1.管理组织体系、运行机制等情况。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2.预算、成本等管理对运营支撑作用等情况。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3.运营管理与医教研防的融合方面情况。</w:t>
      </w:r>
    </w:p>
    <w:p>
      <w:pPr>
        <w:spacing w:before="3" w:line="560" w:lineRule="exact"/>
        <w:ind w:right="5" w:firstLine="842" w:firstLineChars="200"/>
        <w:jc w:val="both"/>
        <w:rPr>
          <w:rFonts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rPr>
        <w:t>4.运营管理中提升医教研防业务的精细化管理水平情况。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5.典型案例（如有可加附件）</w:t>
      </w:r>
    </w:p>
    <w:p>
      <w:pPr>
        <w:spacing w:before="3" w:line="560" w:lineRule="exact"/>
        <w:ind w:right="5" w:firstLine="850" w:firstLineChars="200"/>
        <w:jc w:val="both"/>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（四）业财融合具体措施应用情况。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1.业财融合试点项目的选取情况。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2.业财融合试点项目的论证情况。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3.业财融合试点项目的实施情况。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4.业财融合试点项目取得成果情况。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5.典型案例（如有可加附件）</w:t>
      </w:r>
    </w:p>
    <w:p>
      <w:pPr>
        <w:widowControl w:val="0"/>
        <w:spacing w:before="1" w:line="560" w:lineRule="exact"/>
        <w:ind w:firstLine="850" w:firstLineChars="200"/>
        <w:jc w:val="both"/>
        <w:rPr>
          <w:rFonts w:ascii="黑体" w:hAnsi="黑体" w:eastAsia="黑体" w:cs="方正小标宋_GBK"/>
          <w:bCs/>
          <w:color w:val="auto"/>
          <w:kern w:val="2"/>
          <w:sz w:val="32"/>
          <w:szCs w:val="32"/>
        </w:rPr>
      </w:pPr>
      <w:r>
        <w:rPr>
          <w:rFonts w:hint="eastAsia" w:ascii="黑体" w:hAnsi="黑体" w:eastAsia="黑体" w:cs="方正小标宋_GBK"/>
          <w:bCs/>
          <w:color w:val="auto"/>
          <w:kern w:val="2"/>
          <w:sz w:val="32"/>
          <w:szCs w:val="32"/>
        </w:rPr>
        <w:t>三、</w:t>
      </w:r>
      <w:r>
        <w:rPr>
          <w:rFonts w:hint="eastAsia" w:ascii="黑体" w:hAnsi="黑体" w:eastAsia="黑体" w:cs="楷体"/>
          <w:bCs/>
          <w:color w:val="auto"/>
          <w:sz w:val="32"/>
          <w:szCs w:val="32"/>
        </w:rPr>
        <w:t>改革创新、强化监管、长效机制情况</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1.深化医改任务，特色做法。</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2.强化监管，包括：内部审计、部门联查、信息化监管等。</w:t>
      </w: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3.典型案例（如有可加附件）</w:t>
      </w:r>
    </w:p>
    <w:p>
      <w:pPr>
        <w:widowControl w:val="0"/>
        <w:spacing w:before="1" w:line="560" w:lineRule="exact"/>
        <w:ind w:firstLine="85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四、存在的困难及原因分析</w:t>
      </w:r>
    </w:p>
    <w:p>
      <w:pPr>
        <w:widowControl w:val="0"/>
        <w:spacing w:before="1" w:line="560" w:lineRule="exact"/>
        <w:ind w:firstLine="85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五、下一步工作计划</w:t>
      </w:r>
    </w:p>
    <w:p>
      <w:pPr>
        <w:widowControl w:val="0"/>
        <w:spacing w:before="1" w:line="560" w:lineRule="exact"/>
        <w:ind w:firstLine="85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六、有关建议</w:t>
      </w:r>
    </w:p>
    <w:p>
      <w:pPr>
        <w:widowControl w:val="0"/>
        <w:spacing w:before="1" w:line="560" w:lineRule="exact"/>
        <w:ind w:firstLine="850" w:firstLineChars="200"/>
        <w:jc w:val="both"/>
        <w:rPr>
          <w:rFonts w:ascii="黑体" w:hAnsi="黑体" w:eastAsia="黑体" w:cs="方正小标宋_GBK"/>
          <w:bCs/>
          <w:color w:val="auto"/>
          <w:kern w:val="2"/>
          <w:sz w:val="32"/>
          <w:szCs w:val="32"/>
        </w:rPr>
      </w:pPr>
    </w:p>
    <w:p>
      <w:pPr>
        <w:spacing w:before="3" w:line="560" w:lineRule="exact"/>
        <w:ind w:right="5" w:firstLine="85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附件材料：……</w:t>
      </w:r>
    </w:p>
    <w:p>
      <w:pPr>
        <w:spacing w:before="3" w:line="560" w:lineRule="exact"/>
        <w:ind w:right="5"/>
        <w:rPr>
          <w:rFonts w:ascii="仿宋_GB2312" w:hAnsi="仿宋_GB2312" w:eastAsia="仿宋_GB2312" w:cs="仿宋_GB2312"/>
          <w:bCs/>
          <w:color w:val="auto"/>
          <w:sz w:val="32"/>
          <w:szCs w:val="32"/>
        </w:rPr>
      </w:pPr>
    </w:p>
    <w:sectPr>
      <w:footerReference r:id="rId6" w:type="default"/>
      <w:pgSz w:w="11907" w:h="16840"/>
      <w:pgMar w:top="2098" w:right="1474" w:bottom="1984" w:left="1587" w:header="850" w:footer="1417" w:gutter="0"/>
      <w:pgNumType w:fmt="numberInDash"/>
      <w:cols w:space="720" w:num="1"/>
      <w:docGrid w:type="linesAndChars" w:linePitch="579" w:charSpace="21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exact"/>
      <w:ind w:firstLine="7914"/>
      <w:rPr>
        <w:rFonts w:ascii="宋体" w:hAnsi="宋体" w:eastAsia="宋体" w:cs="宋体"/>
        <w:sz w:val="27"/>
        <w:szCs w:val="27"/>
      </w:rPr>
    </w:pPr>
    <w:r>
      <w:rPr>
        <w:rFonts w:ascii="Arial" w:hAnsi="Arial" w:eastAsia="等线" w:cs="Arial"/>
        <w:snapToGrid w:val="0"/>
        <w:color w:val="000000"/>
        <w:sz w:val="27"/>
        <w:szCs w:val="21"/>
        <w:lang w:val="en-US" w:eastAsia="zh-CN" w:bidi="ar-SA"/>
      </w:rPr>
      <w:pict>
        <v:shape id="文本框 5" o:spid="_x0000_s1025"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ind w:left="210" w:leftChars="100" w:right="210" w:rightChars="10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rPr>
    </w:pPr>
    <w:r>
      <w:rPr>
        <w:rFonts w:ascii="Arial" w:hAnsi="Arial" w:eastAsia="等线" w:cs="Arial"/>
        <w:snapToGrid w:val="0"/>
        <w:color w:val="000000"/>
        <w:sz w:val="2"/>
        <w:szCs w:val="21"/>
        <w:lang w:val="en-US" w:eastAsia="zh-CN" w:bidi="ar-SA"/>
      </w:rPr>
      <w:pict>
        <v:shape id="文本框 6" o:spid="_x0000_s1026" type="#_x0000_t202" style="position:absolute;left:0;margin-top:0pt;height:144pt;width:144pt;mso-position-horizontal:outside;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- 10 -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5"/>
  <w:drawingGridVerticalSpacing w:val="290"/>
  <w:displayHorizontalDrawingGridEvery w:val="2"/>
  <w:displayVerticalDrawingGridEvery w:val="2"/>
  <w:characterSpacingControl w:val="doNotCompress"/>
  <w:compat>
    <w:spaceForUL/>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kinsoku w:val="0"/>
      <w:autoSpaceDE w:val="0"/>
      <w:autoSpaceDN w:val="0"/>
      <w:adjustRightInd w:val="0"/>
      <w:snapToGrid w:val="0"/>
      <w:textAlignment w:val="baseline"/>
    </w:pPr>
    <w:rPr>
      <w:rFonts w:ascii="Arial" w:hAnsi="Arial" w:eastAsia="等线" w:cs="Arial"/>
      <w:snapToGrid w:val="0"/>
      <w:color w:val="000000"/>
      <w:sz w:val="21"/>
      <w:szCs w:val="21"/>
      <w:lang w:val="en-US" w:eastAsia="zh-CN" w:bidi="ar-SA"/>
    </w:rPr>
  </w:style>
  <w:style w:type="paragraph" w:styleId="2">
    <w:name w:val="heading 1"/>
    <w:basedOn w:val="1"/>
    <w:next w:val="1"/>
    <w:link w:val="14"/>
    <w:qFormat/>
    <w:uiPriority w:val="9"/>
    <w:pPr>
      <w:widowControl w:val="0"/>
      <w:adjustRightInd/>
      <w:snapToGrid/>
      <w:spacing w:before="19"/>
      <w:ind w:right="157"/>
      <w:jc w:val="center"/>
      <w:textAlignment w:val="auto"/>
      <w:outlineLvl w:val="0"/>
    </w:pPr>
    <w:rPr>
      <w:rFonts w:ascii="宋体" w:hAnsi="宋体" w:eastAsia="宋体" w:cs="宋体"/>
      <w:b/>
      <w:bCs/>
      <w:color w:val="auto"/>
      <w:sz w:val="44"/>
      <w:szCs w:val="44"/>
      <w:lang w:val="zh-CN" w:bidi="zh-CN"/>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9">
    <w:name w:val="Default Paragraph Font"/>
    <w:semiHidden/>
    <w:unhideWhenUsed/>
    <w:uiPriority w:val="1"/>
  </w:style>
  <w:style w:type="paragraph" w:styleId="4">
    <w:name w:val="Body Text"/>
    <w:basedOn w:val="1"/>
    <w:link w:val="15"/>
    <w:qFormat/>
    <w:uiPriority w:val="1"/>
    <w:pPr>
      <w:widowControl w:val="0"/>
      <w:adjustRightInd/>
      <w:snapToGrid/>
      <w:ind w:left="120"/>
      <w:textAlignment w:val="auto"/>
    </w:pPr>
    <w:rPr>
      <w:rFonts w:ascii="宋体" w:hAnsi="宋体" w:eastAsia="宋体" w:cs="宋体"/>
      <w:color w:val="auto"/>
      <w:sz w:val="32"/>
      <w:szCs w:val="32"/>
      <w:lang w:val="zh-CN" w:bidi="zh-CN"/>
    </w:rPr>
  </w:style>
  <w:style w:type="paragraph" w:styleId="5">
    <w:name w:val="Date"/>
    <w:basedOn w:val="1"/>
    <w:next w:val="1"/>
    <w:link w:val="17"/>
    <w:semiHidden/>
    <w:unhideWhenUsed/>
    <w:uiPriority w:val="99"/>
    <w:pPr>
      <w:ind w:left="100" w:leftChars="2500"/>
    </w:pPr>
  </w:style>
  <w:style w:type="paragraph" w:styleId="6">
    <w:name w:val="footer"/>
    <w:basedOn w:val="1"/>
    <w:link w:val="13"/>
    <w:unhideWhenUsed/>
    <w:uiPriority w:val="99"/>
    <w:pPr>
      <w:tabs>
        <w:tab w:val="center" w:pos="4153"/>
        <w:tab w:val="right" w:pos="8306"/>
      </w:tabs>
    </w:pPr>
    <w:rPr>
      <w:sz w:val="18"/>
      <w:szCs w:val="18"/>
    </w:rPr>
  </w:style>
  <w:style w:type="paragraph" w:styleId="7">
    <w:name w:val="Body Text First Indent 2"/>
    <w:semiHidden/>
    <w:unhideWhenUsed/>
    <w:uiPriority w:val="99"/>
    <w:pPr>
      <w:widowControl w:val="0"/>
      <w:ind w:left="200" w:leftChars="200" w:firstLine="200" w:firstLineChars="200"/>
      <w:jc w:val="both"/>
    </w:pPr>
    <w:rPr>
      <w:rFonts w:ascii="Calibri" w:hAnsi="Calibri"/>
      <w:kern w:val="2"/>
      <w:sz w:val="21"/>
      <w:szCs w:val="24"/>
    </w:rPr>
  </w:style>
  <w:style w:type="paragraph" w:styleId="8">
    <w:name w:val="header"/>
    <w:basedOn w:val="1"/>
    <w:link w:val="12"/>
    <w:unhideWhenUsed/>
    <w:uiPriority w:val="99"/>
    <w:pPr>
      <w:pBdr>
        <w:bottom w:val="single" w:color="auto" w:sz="6" w:space="1"/>
      </w:pBdr>
      <w:tabs>
        <w:tab w:val="center" w:pos="4153"/>
        <w:tab w:val="right" w:pos="8306"/>
      </w:tabs>
      <w:jc w:val="center"/>
    </w:pPr>
    <w:rPr>
      <w:sz w:val="18"/>
      <w:szCs w:val="18"/>
    </w:rPr>
  </w:style>
  <w:style w:type="character" w:styleId="10">
    <w:name w:val="Hyperlink"/>
    <w:unhideWhenUsed/>
    <w:uiPriority w:val="99"/>
    <w:rPr>
      <w:color w:val="0000FF"/>
      <w:u w:val="single"/>
    </w:rPr>
  </w:style>
  <w:style w:type="paragraph" w:customStyle="1" w:styleId="11">
    <w:name w:val="列出段落1"/>
    <w:basedOn w:val="1"/>
    <w:qFormat/>
    <w:uiPriority w:val="34"/>
    <w:pPr>
      <w:ind w:firstLine="420" w:firstLineChars="200"/>
    </w:pPr>
  </w:style>
  <w:style w:type="character" w:customStyle="1" w:styleId="12">
    <w:name w:val="页眉 Char"/>
    <w:link w:val="8"/>
    <w:uiPriority w:val="99"/>
    <w:rPr>
      <w:sz w:val="18"/>
      <w:szCs w:val="18"/>
    </w:rPr>
  </w:style>
  <w:style w:type="character" w:customStyle="1" w:styleId="13">
    <w:name w:val="页脚 Char"/>
    <w:link w:val="6"/>
    <w:uiPriority w:val="99"/>
    <w:rPr>
      <w:sz w:val="18"/>
      <w:szCs w:val="18"/>
    </w:rPr>
  </w:style>
  <w:style w:type="character" w:customStyle="1" w:styleId="14">
    <w:name w:val="标题 1 Char"/>
    <w:link w:val="2"/>
    <w:uiPriority w:val="9"/>
    <w:rPr>
      <w:rFonts w:ascii="宋体" w:hAnsi="宋体" w:eastAsia="宋体" w:cs="宋体"/>
      <w:b/>
      <w:bCs/>
      <w:color w:val="auto"/>
      <w:sz w:val="44"/>
      <w:szCs w:val="44"/>
      <w:lang w:val="zh-CN" w:bidi="zh-CN"/>
    </w:rPr>
  </w:style>
  <w:style w:type="character" w:customStyle="1" w:styleId="15">
    <w:name w:val="正文文本 Char"/>
    <w:link w:val="4"/>
    <w:uiPriority w:val="1"/>
    <w:rPr>
      <w:rFonts w:ascii="宋体" w:hAnsi="宋体" w:eastAsia="宋体" w:cs="宋体"/>
      <w:color w:val="auto"/>
      <w:sz w:val="32"/>
      <w:szCs w:val="32"/>
      <w:lang w:val="zh-CN" w:bidi="zh-CN"/>
    </w:rPr>
  </w:style>
  <w:style w:type="character" w:customStyle="1" w:styleId="16">
    <w:name w:val="标题 2 Char"/>
    <w:link w:val="3"/>
    <w:semiHidden/>
    <w:uiPriority w:val="9"/>
    <w:rPr>
      <w:rFonts w:ascii="等线 Light" w:hAnsi="等线 Light" w:eastAsia="等线 Light" w:cs="黑体"/>
      <w:b/>
      <w:bCs/>
      <w:sz w:val="32"/>
      <w:szCs w:val="32"/>
    </w:rPr>
  </w:style>
  <w:style w:type="character" w:customStyle="1" w:styleId="17">
    <w:name w:val="日期 Char"/>
    <w:basedOn w:val="9"/>
    <w:link w:val="5"/>
    <w:semiHidden/>
    <w:uiPriority w:val="99"/>
    <w:rPr/>
  </w:style>
  <w:style w:type="character" w:customStyle="1" w:styleId="18">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1559</Words>
  <Characters>8891</Characters>
  <Lines>74</Lines>
  <Paragraphs>20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2022-06-20T09:39:00Z</dcterms:created>
  <dc:creator>Kingsoft-PDF</dc:creator>
  <cp:keywords>62afcfc9fa16c0578da80d5f</cp:keywords>
  <cp:lastModifiedBy>lenovo</cp:lastModifiedBy>
  <cp:lastPrinted>2022-07-11T02:50:56Z</cp:lastPrinted>
  <dcterms:modified xsi:type="dcterms:W3CDTF">2022-07-11T02:51:00Z</dcterms:modified>
  <dc:subject>pdfbuilder</dc:subject>
  <dc:title>吉林省卫生健康委员会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2024-06-20T09:39:00Z</vt:filetime>
  </property>
  <property fmtid="{D5CDD505-2E9C-101B-9397-08002B2CF9AE}" pid="4" name="KSOProductBuildVer">
    <vt:lpwstr>2052-9.1.0.4569</vt:lpwstr>
  </property>
  <property fmtid="{D5CDD505-2E9C-101B-9397-08002B2CF9AE}" pid="5" name="ICV">
    <vt:lpwstr>6AD60A39F71C4447B9BE3BF796DFA4FC</vt:lpwstr>
  </property>
</Properties>
</file>