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三七粉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S</w:t>
      </w:r>
      <w:r>
        <w:rPr>
          <w:rFonts w:ascii="Times New Roman" w:hAnsi="Times New Roman" w:cs="Times New Roman"/>
          <w:b/>
          <w:bCs/>
          <w:sz w:val="30"/>
          <w:szCs w:val="30"/>
        </w:rPr>
        <w:t>anqi Fen</w:t>
      </w:r>
      <w:bookmarkStart w:id="3" w:name="_GoBack"/>
      <w:bookmarkEnd w:id="3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宋体" w:cs="宋体"/>
          <w:sz w:val="24"/>
          <w:szCs w:val="24"/>
        </w:rPr>
        <w:t>本品为五加科植物三七</w:t>
      </w:r>
      <w:r>
        <w:rPr>
          <w:rFonts w:ascii="Times New Roman" w:hAnsi="Times New Roman" w:cs="Times New Roman"/>
          <w:i/>
          <w:iCs/>
          <w:sz w:val="24"/>
          <w:szCs w:val="24"/>
        </w:rPr>
        <w:t>Panax notoginseng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宋体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Burk.</w:t>
      </w:r>
      <w:r>
        <w:rPr>
          <w:rFonts w:hint="eastAsia" w:ascii="Times New Roman" w:hAnsi="Times New Roman" w:cs="宋体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F. H. Chen</w:t>
      </w:r>
      <w:r>
        <w:rPr>
          <w:rFonts w:hint="eastAsia" w:ascii="Times New Roman" w:hAnsi="宋体" w:cs="宋体"/>
          <w:sz w:val="24"/>
          <w:szCs w:val="24"/>
        </w:rPr>
        <w:t>的新鲜根和根茎的炮制加工品。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【炮制】</w:t>
      </w:r>
      <w:r>
        <w:rPr>
          <w:rFonts w:ascii="Times New Roman" w:hAnsi="黑体" w:eastAsia="黑体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取三七新鲜根和根茎，除去杂质，洗净，沥干，切片，预冷冻，真空冷冻干燥，粉碎成极细粉，过筛，即得。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【性状】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本品为灰绿色至灰白色的粉末。气微，味苦回甜。</w:t>
      </w:r>
    </w:p>
    <w:p>
      <w:pPr>
        <w:spacing w:line="360" w:lineRule="auto"/>
        <w:ind w:firstLine="480" w:firstLineChars="200"/>
        <w:rPr>
          <w:rFonts w:ascii="Times New Roman" w:hAnsi="宋体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【鉴别】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宋体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宋体"/>
          <w:sz w:val="24"/>
          <w:szCs w:val="24"/>
        </w:rPr>
        <w:t>）</w:t>
      </w:r>
      <w:r>
        <w:rPr>
          <w:rFonts w:hint="eastAsia" w:ascii="Times New Roman" w:hAnsi="宋体" w:cs="宋体"/>
          <w:sz w:val="24"/>
          <w:szCs w:val="24"/>
        </w:rPr>
        <w:t>本品粉末灰绿色至灰白色。淀粉粒甚多，单粒类球形或多角形，直径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hint="eastAsia" w:ascii="Times New Roman" w:hAnsi="宋体" w:cs="宋体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30μm</w:t>
      </w:r>
      <w:r>
        <w:rPr>
          <w:rFonts w:hint="eastAsia" w:ascii="Times New Roman" w:hAnsi="宋体" w:cs="宋体"/>
          <w:sz w:val="24"/>
          <w:szCs w:val="24"/>
        </w:rPr>
        <w:t>；复粒由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宋体" w:cs="宋体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hint="eastAsia" w:ascii="Times New Roman" w:hAnsi="宋体" w:cs="宋体"/>
          <w:sz w:val="24"/>
          <w:szCs w:val="24"/>
        </w:rPr>
        <w:t>余分粒组成。树脂道碎片含黄色分泌物。木栓细胞表面观类方形或多角形，壁增厚。纤维成束，木化。可见螺纹导管，直径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hint="eastAsia" w:ascii="Times New Roman" w:hAnsi="宋体" w:cs="宋体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35μm</w:t>
      </w:r>
      <w:r>
        <w:rPr>
          <w:rFonts w:hint="eastAsia" w:ascii="Times New Roman" w:hAnsi="宋体" w:cs="宋体"/>
          <w:sz w:val="24"/>
          <w:szCs w:val="24"/>
        </w:rPr>
        <w:t>；梯纹导管及网纹导管少见。草酸钙簇晶少见，直径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hint="eastAsia" w:ascii="Times New Roman" w:hAnsi="宋体" w:cs="宋体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80μm</w:t>
      </w:r>
      <w:r>
        <w:rPr>
          <w:rFonts w:hint="eastAsia" w:ascii="Times New Roman" w:hAnsi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宋体" w:cs="宋体"/>
          <w:sz w:val="24"/>
          <w:szCs w:val="24"/>
        </w:rPr>
        <w:t>（</w:t>
      </w:r>
      <w:r>
        <w:rPr>
          <w:rFonts w:ascii="Times New Roman" w:hAnsi="宋体" w:cs="Times New Roman"/>
          <w:sz w:val="24"/>
          <w:szCs w:val="24"/>
        </w:rPr>
        <w:t>2</w:t>
      </w:r>
      <w:r>
        <w:rPr>
          <w:rFonts w:hint="eastAsia" w:ascii="Times New Roman" w:hAnsi="宋体" w:cs="宋体"/>
          <w:sz w:val="24"/>
          <w:szCs w:val="24"/>
        </w:rPr>
        <w:t>）取本品，照〔含量测定〕项下的方法试验，供试品色谱图中应呈现与对照品色谱峰保留时间相同的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hint="eastAsia" w:ascii="Times New Roman" w:hAnsi="宋体" w:cs="宋体"/>
          <w:sz w:val="24"/>
          <w:szCs w:val="24"/>
        </w:rPr>
        <w:t>个色谱峰。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【检查】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黑体" w:eastAsia="黑体" w:cs="黑体"/>
          <w:sz w:val="24"/>
          <w:szCs w:val="24"/>
        </w:rPr>
        <w:t>水分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不得过</w:t>
      </w:r>
      <w:r>
        <w:rPr>
          <w:rFonts w:ascii="Times New Roman" w:hAnsi="Times New Roman" w:cs="Times New Roman"/>
          <w:sz w:val="24"/>
          <w:szCs w:val="24"/>
        </w:rPr>
        <w:t>10.0%</w:t>
      </w:r>
      <w:r>
        <w:rPr>
          <w:rFonts w:hint="eastAsia" w:ascii="Times New Roman" w:hAnsi="宋体" w:cs="宋体"/>
          <w:sz w:val="24"/>
          <w:szCs w:val="24"/>
        </w:rPr>
        <w:t>（《中国药典》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宋体" w:cs="宋体"/>
          <w:sz w:val="24"/>
          <w:szCs w:val="24"/>
        </w:rPr>
        <w:t>年版四部通则</w:t>
      </w:r>
      <w:r>
        <w:rPr>
          <w:rFonts w:ascii="Times New Roman" w:hAnsi="Times New Roman" w:cs="Times New Roman"/>
          <w:sz w:val="24"/>
          <w:szCs w:val="24"/>
        </w:rPr>
        <w:t>0832</w:t>
      </w:r>
      <w:r>
        <w:rPr>
          <w:rFonts w:hint="eastAsia" w:ascii="Times New Roman" w:hAnsi="宋体" w:cs="宋体"/>
          <w:sz w:val="24"/>
          <w:szCs w:val="24"/>
        </w:rPr>
        <w:t>第二法）。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总灰分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不得过</w:t>
      </w:r>
      <w:r>
        <w:rPr>
          <w:rFonts w:ascii="Times New Roman" w:hAnsi="Times New Roman" w:cs="Times New Roman"/>
          <w:sz w:val="24"/>
          <w:szCs w:val="24"/>
        </w:rPr>
        <w:t>5.0%</w:t>
      </w:r>
      <w:r>
        <w:rPr>
          <w:rFonts w:hint="eastAsia" w:ascii="Times New Roman" w:hAnsi="宋体" w:cs="宋体"/>
          <w:sz w:val="24"/>
          <w:szCs w:val="24"/>
        </w:rPr>
        <w:t>（《中国药典》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宋体" w:cs="宋体"/>
          <w:sz w:val="24"/>
          <w:szCs w:val="24"/>
        </w:rPr>
        <w:t>年版四部通则</w:t>
      </w:r>
      <w:r>
        <w:rPr>
          <w:rFonts w:ascii="Times New Roman" w:hAnsi="Times New Roman" w:cs="Times New Roman"/>
          <w:sz w:val="24"/>
          <w:szCs w:val="24"/>
        </w:rPr>
        <w:t>2302</w:t>
      </w:r>
      <w:r>
        <w:rPr>
          <w:rFonts w:hint="eastAsia" w:ascii="Times New Roman" w:hAnsi="宋体" w:cs="宋体"/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rFonts w:hint="eastAsia" w:ascii="Times New Roman" w:hAnsi="宋体" w:cs="宋体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酸不溶性灰分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不得过</w:t>
      </w:r>
      <w:r>
        <w:rPr>
          <w:rFonts w:ascii="Times New Roman" w:hAnsi="Times New Roman" w:cs="Times New Roman"/>
          <w:sz w:val="24"/>
          <w:szCs w:val="24"/>
        </w:rPr>
        <w:t>2.0%</w:t>
      </w:r>
      <w:r>
        <w:rPr>
          <w:rFonts w:hint="eastAsia" w:ascii="Times New Roman" w:hAnsi="宋体" w:cs="宋体"/>
          <w:sz w:val="24"/>
          <w:szCs w:val="24"/>
        </w:rPr>
        <w:t>（《中国药典》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宋体" w:cs="宋体"/>
          <w:sz w:val="24"/>
          <w:szCs w:val="24"/>
        </w:rPr>
        <w:t>年版四部通则</w:t>
      </w:r>
      <w:r>
        <w:rPr>
          <w:rFonts w:ascii="Times New Roman" w:hAnsi="Times New Roman" w:cs="Times New Roman"/>
          <w:sz w:val="24"/>
          <w:szCs w:val="24"/>
        </w:rPr>
        <w:t>2302</w:t>
      </w:r>
      <w:r>
        <w:rPr>
          <w:rFonts w:hint="eastAsia" w:ascii="Times New Roman" w:hAnsi="宋体" w:cs="宋体"/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rFonts w:hint="eastAsia" w:ascii="Times New Roman" w:hAnsi="宋体" w:cs="宋体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微生物限度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照非无菌产品微生物限度检查：微生物计数法（《中国药典》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宋体" w:cs="宋体"/>
          <w:sz w:val="24"/>
          <w:szCs w:val="24"/>
        </w:rPr>
        <w:t>年版四部通则</w:t>
      </w:r>
      <w:r>
        <w:rPr>
          <w:rFonts w:ascii="Times New Roman" w:hAnsi="Times New Roman" w:cs="Times New Roman"/>
          <w:sz w:val="24"/>
          <w:szCs w:val="24"/>
        </w:rPr>
        <w:t>1105</w:t>
      </w:r>
      <w:r>
        <w:rPr>
          <w:rFonts w:hint="eastAsia" w:ascii="Times New Roman" w:hAnsi="Times New Roman" w:cs="宋体"/>
          <w:sz w:val="24"/>
          <w:szCs w:val="24"/>
        </w:rPr>
        <w:t>）</w:t>
      </w:r>
      <w:r>
        <w:rPr>
          <w:rFonts w:hint="eastAsia" w:ascii="Times New Roman" w:hAnsi="宋体" w:cs="宋体"/>
          <w:sz w:val="24"/>
          <w:szCs w:val="24"/>
        </w:rPr>
        <w:t>和控制菌检查法（《中国药典》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宋体" w:cs="宋体"/>
          <w:sz w:val="24"/>
          <w:szCs w:val="24"/>
        </w:rPr>
        <w:t>年版四部通则</w:t>
      </w:r>
      <w:r>
        <w:rPr>
          <w:rFonts w:ascii="Times New Roman" w:hAnsi="Times New Roman" w:cs="Times New Roman"/>
          <w:sz w:val="24"/>
          <w:szCs w:val="24"/>
        </w:rPr>
        <w:t>1106</w:t>
      </w:r>
      <w:r>
        <w:rPr>
          <w:rFonts w:hint="eastAsia" w:ascii="Times New Roman" w:hAnsi="宋体" w:cs="宋体"/>
          <w:sz w:val="24"/>
          <w:szCs w:val="24"/>
        </w:rPr>
        <w:t>）检查，应符合规定：沙门氏菌每</w:t>
      </w:r>
      <w:r>
        <w:rPr>
          <w:rFonts w:ascii="Times New Roman" w:hAnsi="Times New Roman" w:cs="Times New Roman"/>
          <w:sz w:val="24"/>
          <w:szCs w:val="24"/>
        </w:rPr>
        <w:t>10g</w:t>
      </w:r>
      <w:r>
        <w:rPr>
          <w:rFonts w:hint="eastAsia" w:ascii="Times New Roman" w:hAnsi="宋体" w:cs="宋体"/>
          <w:sz w:val="24"/>
          <w:szCs w:val="24"/>
        </w:rPr>
        <w:t>不得检出，耐胆盐革兰阴性菌小于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cfu/g</w:t>
      </w:r>
      <w:r>
        <w:rPr>
          <w:rFonts w:hint="eastAsia" w:ascii="Times New Roman" w:hAnsi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【浸出物】</w:t>
      </w:r>
      <w:r>
        <w:rPr>
          <w:rFonts w:ascii="Times New Roman" w:hAnsi="黑体" w:eastAsia="黑体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照醇溶性浸出物测定法（《中国药典》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宋体" w:cs="宋体"/>
          <w:sz w:val="24"/>
          <w:szCs w:val="24"/>
        </w:rPr>
        <w:t>年版四部通则</w:t>
      </w:r>
      <w:r>
        <w:rPr>
          <w:rFonts w:ascii="Times New Roman" w:hAnsi="Times New Roman" w:cs="Times New Roman"/>
          <w:sz w:val="24"/>
          <w:szCs w:val="24"/>
        </w:rPr>
        <w:t>2201</w:t>
      </w:r>
      <w:r>
        <w:rPr>
          <w:rFonts w:hint="eastAsia" w:ascii="Times New Roman" w:hAnsi="宋体" w:cs="宋体"/>
          <w:sz w:val="24"/>
          <w:szCs w:val="24"/>
        </w:rPr>
        <w:t>）项下的热浸法测定，用甲醇作溶剂，不得少于</w:t>
      </w:r>
      <w:r>
        <w:rPr>
          <w:rFonts w:ascii="Times New Roman" w:hAnsi="Times New Roman" w:cs="Times New Roman"/>
          <w:sz w:val="24"/>
          <w:szCs w:val="24"/>
        </w:rPr>
        <w:t>20.0%</w:t>
      </w:r>
      <w:r>
        <w:rPr>
          <w:rFonts w:hint="eastAsia" w:ascii="Times New Roman" w:hAnsi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【含量测定</w:t>
      </w:r>
      <w:bookmarkStart w:id="0" w:name="_Hlk14252826"/>
      <w:r>
        <w:rPr>
          <w:rFonts w:hint="eastAsia" w:ascii="Times New Roman" w:hAnsi="黑体" w:eastAsia="黑体" w:cs="黑体"/>
          <w:sz w:val="24"/>
          <w:szCs w:val="24"/>
        </w:rPr>
        <w:t>】</w:t>
      </w:r>
      <w:r>
        <w:rPr>
          <w:rFonts w:ascii="Times New Roman" w:hAnsi="黑体" w:eastAsia="黑体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照高效液相色谱法（《中国药典》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宋体" w:cs="宋体"/>
          <w:sz w:val="24"/>
          <w:szCs w:val="24"/>
        </w:rPr>
        <w:t>年版四部通则</w:t>
      </w:r>
      <w:r>
        <w:rPr>
          <w:rFonts w:ascii="Times New Roman" w:hAnsi="Times New Roman" w:cs="Times New Roman"/>
          <w:sz w:val="24"/>
          <w:szCs w:val="24"/>
        </w:rPr>
        <w:t>0512</w:t>
      </w:r>
      <w:r>
        <w:rPr>
          <w:rFonts w:hint="eastAsia" w:ascii="Times New Roman" w:hAnsi="宋体" w:cs="宋体"/>
          <w:sz w:val="24"/>
          <w:szCs w:val="24"/>
        </w:rPr>
        <w:t>）测定。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色谱条件与系统适用性试验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以十八烷基硅烷键合硅胶为填充剂；以乙腈为流动相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宋体" w:cs="宋体"/>
          <w:sz w:val="24"/>
          <w:szCs w:val="24"/>
        </w:rPr>
        <w:t>，以水为流动相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int="eastAsia" w:ascii="Times New Roman" w:hAnsi="宋体" w:cs="宋体"/>
          <w:sz w:val="24"/>
          <w:szCs w:val="24"/>
        </w:rPr>
        <w:t>，按下表中的规定进行梯度洗脱；流速每分钟为</w:t>
      </w:r>
      <w:r>
        <w:rPr>
          <w:rFonts w:ascii="Times New Roman" w:hAnsi="Times New Roman" w:cs="Times New Roman"/>
          <w:sz w:val="24"/>
          <w:szCs w:val="24"/>
        </w:rPr>
        <w:t>1.5ml</w:t>
      </w:r>
      <w:r>
        <w:rPr>
          <w:rFonts w:hint="eastAsia" w:ascii="Times New Roman" w:hAnsi="宋体" w:cs="宋体"/>
          <w:sz w:val="24"/>
          <w:szCs w:val="24"/>
        </w:rPr>
        <w:t>；检测波长为</w:t>
      </w:r>
      <w:r>
        <w:rPr>
          <w:rFonts w:ascii="Times New Roman" w:hAnsi="Times New Roman" w:cs="Times New Roman"/>
          <w:sz w:val="24"/>
          <w:szCs w:val="24"/>
        </w:rPr>
        <w:t>203nm</w:t>
      </w:r>
      <w:r>
        <w:rPr>
          <w:rFonts w:hint="eastAsia" w:ascii="Times New Roman" w:hAnsi="宋体" w:cs="宋体"/>
          <w:sz w:val="24"/>
          <w:szCs w:val="24"/>
        </w:rPr>
        <w:t>；柱温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hint="eastAsia" w:ascii="Times New Roman" w:hAnsi="宋体" w:cs="宋体"/>
          <w:sz w:val="24"/>
          <w:szCs w:val="24"/>
        </w:rPr>
        <w:t>℃。人参皂苷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hint="eastAsia" w:ascii="Times New Roman" w:hAnsi="宋体" w:cs="宋体"/>
          <w:sz w:val="24"/>
          <w:szCs w:val="24"/>
        </w:rPr>
        <w:t>与人参皂苷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hint="eastAsia" w:ascii="Times New Roman" w:hAnsi="宋体" w:cs="宋体"/>
          <w:sz w:val="24"/>
          <w:szCs w:val="24"/>
        </w:rPr>
        <w:t>的分离度应大于</w:t>
      </w: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hint="eastAsia" w:ascii="Times New Roman" w:hAnsi="宋体" w:cs="宋体"/>
          <w:sz w:val="24"/>
          <w:szCs w:val="24"/>
        </w:rPr>
        <w:t>。理论板数按人参皂苷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eastAsia" w:ascii="Times New Roman" w:hAnsi="宋体" w:cs="宋体"/>
          <w:sz w:val="24"/>
          <w:szCs w:val="24"/>
        </w:rPr>
        <w:t>峰计算应不低于</w:t>
      </w:r>
      <w:r>
        <w:rPr>
          <w:rFonts w:ascii="Times New Roman" w:hAnsi="Times New Roman" w:cs="Times New Roman"/>
          <w:sz w:val="24"/>
          <w:szCs w:val="24"/>
        </w:rPr>
        <w:t>6000</w:t>
      </w:r>
      <w:r>
        <w:rPr>
          <w:rFonts w:hint="eastAsia" w:ascii="Times New Roman" w:hAnsi="宋体" w:cs="宋体"/>
          <w:sz w:val="24"/>
          <w:szCs w:val="24"/>
        </w:rPr>
        <w:t>。</w:t>
      </w:r>
    </w:p>
    <w:tbl>
      <w:tblPr>
        <w:tblStyle w:val="9"/>
        <w:tblW w:w="871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971"/>
        <w:gridCol w:w="297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68" w:type="dxa"/>
            <w:tcBorders>
              <w:top w:val="single" w:color="auto" w:sz="12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时间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分钟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）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流动相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％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）</w:t>
            </w:r>
          </w:p>
        </w:tc>
        <w:tc>
          <w:tcPr>
            <w:tcW w:w="2972" w:type="dxa"/>
            <w:tcBorders>
              <w:top w:val="single" w:color="auto" w:sz="12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流动相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％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68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0~20</w:t>
            </w:r>
          </w:p>
        </w:tc>
        <w:tc>
          <w:tcPr>
            <w:tcW w:w="2971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2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20~45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20~46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80~54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45~55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46~55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54~45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6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55~60</w:t>
            </w:r>
          </w:p>
        </w:tc>
        <w:tc>
          <w:tcPr>
            <w:tcW w:w="297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对照品溶液的制备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精密称取人参皂苷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eastAsia" w:ascii="Times New Roman" w:hAnsi="宋体" w:cs="宋体"/>
          <w:sz w:val="24"/>
          <w:szCs w:val="24"/>
        </w:rPr>
        <w:t>对照品、人参皂苷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eastAsia" w:ascii="Times New Roman" w:hAnsi="宋体" w:cs="宋体"/>
          <w:sz w:val="24"/>
          <w:szCs w:val="24"/>
        </w:rPr>
        <w:t>、人参皂苷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hint="eastAsia" w:ascii="Times New Roman" w:hAnsi="宋体" w:cs="宋体"/>
          <w:sz w:val="24"/>
          <w:szCs w:val="24"/>
        </w:rPr>
        <w:t>、人参皂苷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hint="eastAsia" w:ascii="Times New Roman" w:hAnsi="宋体" w:cs="宋体"/>
          <w:sz w:val="24"/>
          <w:szCs w:val="24"/>
        </w:rPr>
        <w:t>及三七皂苷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eastAsia" w:ascii="Times New Roman" w:hAnsi="宋体" w:cs="宋体"/>
          <w:sz w:val="24"/>
          <w:szCs w:val="24"/>
        </w:rPr>
        <w:t>对照品适量，加甲醇制成每</w:t>
      </w:r>
      <w:r>
        <w:rPr>
          <w:rFonts w:ascii="Times New Roman" w:hAnsi="Times New Roman" w:cs="Times New Roman"/>
          <w:sz w:val="24"/>
          <w:szCs w:val="24"/>
        </w:rPr>
        <w:t>1ml</w:t>
      </w:r>
      <w:r>
        <w:rPr>
          <w:rFonts w:hint="eastAsia" w:ascii="Times New Roman" w:hAnsi="宋体" w:cs="宋体"/>
          <w:sz w:val="24"/>
          <w:szCs w:val="24"/>
        </w:rPr>
        <w:t>含人参皂苷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0.4mg</w:t>
      </w:r>
      <w:r>
        <w:rPr>
          <w:rFonts w:hint="eastAsia" w:ascii="Times New Roman" w:hAnsi="宋体" w:cs="宋体"/>
          <w:sz w:val="24"/>
          <w:szCs w:val="24"/>
        </w:rPr>
        <w:t>、人参皂苷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0.4mg</w:t>
      </w:r>
      <w:r>
        <w:rPr>
          <w:rFonts w:hint="eastAsia" w:ascii="Times New Roman" w:hAnsi="宋体" w:cs="宋体"/>
          <w:sz w:val="24"/>
          <w:szCs w:val="24"/>
        </w:rPr>
        <w:t>、人参皂苷</w:t>
      </w:r>
      <w:r>
        <w:rPr>
          <w:rFonts w:ascii="Times New Roman" w:hAnsi="Times New Roman" w:cs="Times New Roman"/>
          <w:sz w:val="24"/>
          <w:szCs w:val="24"/>
        </w:rPr>
        <w:t>Re 0.1mg</w:t>
      </w:r>
      <w:r>
        <w:rPr>
          <w:rFonts w:hint="eastAsia" w:ascii="Times New Roman" w:hAnsi="宋体" w:cs="宋体"/>
          <w:sz w:val="24"/>
          <w:szCs w:val="24"/>
        </w:rPr>
        <w:t>、人参皂苷</w:t>
      </w:r>
      <w:r>
        <w:rPr>
          <w:rFonts w:ascii="Times New Roman" w:hAnsi="Times New Roman" w:cs="Times New Roman"/>
          <w:sz w:val="24"/>
          <w:szCs w:val="24"/>
        </w:rPr>
        <w:t>Rd 0.1mg</w:t>
      </w:r>
      <w:r>
        <w:rPr>
          <w:rFonts w:hint="eastAsia" w:ascii="Times New Roman" w:hAnsi="宋体" w:cs="宋体"/>
          <w:sz w:val="24"/>
          <w:szCs w:val="24"/>
        </w:rPr>
        <w:t>及三七皂苷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0.1mg</w:t>
      </w:r>
      <w:r>
        <w:rPr>
          <w:rFonts w:hint="eastAsia" w:ascii="Times New Roman" w:hAnsi="宋体" w:cs="宋体"/>
          <w:sz w:val="24"/>
          <w:szCs w:val="24"/>
        </w:rPr>
        <w:t>的混合溶液，即得。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供试品溶液的制备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取本品</w:t>
      </w:r>
      <w:r>
        <w:rPr>
          <w:rFonts w:ascii="Times New Roman" w:hAnsi="Times New Roman" w:cs="Times New Roman"/>
          <w:sz w:val="24"/>
          <w:szCs w:val="24"/>
        </w:rPr>
        <w:t>0.6g</w:t>
      </w:r>
      <w:r>
        <w:rPr>
          <w:rFonts w:hint="eastAsia" w:ascii="Times New Roman" w:hAnsi="宋体" w:cs="宋体"/>
          <w:sz w:val="24"/>
          <w:szCs w:val="24"/>
        </w:rPr>
        <w:t>，精密称定，精密加入甲醇</w:t>
      </w:r>
      <w:r>
        <w:rPr>
          <w:rFonts w:ascii="Times New Roman" w:hAnsi="Times New Roman" w:cs="Times New Roman"/>
          <w:sz w:val="24"/>
          <w:szCs w:val="24"/>
        </w:rPr>
        <w:t>50ml</w:t>
      </w:r>
      <w:r>
        <w:rPr>
          <w:rFonts w:hint="eastAsia" w:ascii="Times New Roman" w:hAnsi="宋体" w:cs="宋体"/>
          <w:sz w:val="24"/>
          <w:szCs w:val="24"/>
        </w:rPr>
        <w:t>，称定重量，放置过夜，置</w:t>
      </w: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hint="eastAsia" w:ascii="Times New Roman" w:hAnsi="宋体" w:cs="宋体"/>
          <w:sz w:val="24"/>
          <w:szCs w:val="24"/>
        </w:rPr>
        <w:t>℃水浴上保持微沸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宋体" w:cs="宋体"/>
          <w:sz w:val="24"/>
          <w:szCs w:val="24"/>
        </w:rPr>
        <w:t>小时，放冷，再称定重量，用甲醇补足减失的重量，摇匀，滤过，取续滤液，即得。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测定法</w:t>
      </w: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hint="eastAsia" w:ascii="Times New Roman" w:hAnsi="宋体" w:cs="宋体"/>
          <w:sz w:val="24"/>
          <w:szCs w:val="24"/>
        </w:rPr>
        <w:t>分别精密吸取对照品溶液和供试品溶液各</w:t>
      </w:r>
      <w:r>
        <w:rPr>
          <w:rFonts w:ascii="Times New Roman" w:hAnsi="Times New Roman" w:cs="Times New Roman"/>
          <w:sz w:val="24"/>
          <w:szCs w:val="24"/>
        </w:rPr>
        <w:t>10µl</w:t>
      </w:r>
      <w:r>
        <w:rPr>
          <w:rFonts w:hint="eastAsia" w:ascii="Times New Roman" w:hAnsi="宋体" w:cs="宋体"/>
          <w:sz w:val="24"/>
          <w:szCs w:val="24"/>
        </w:rPr>
        <w:t>，注入液相色谱仪</w:t>
      </w:r>
      <w:r>
        <w:rPr>
          <w:rFonts w:hint="eastAsia" w:ascii="Times New Roman" w:hAnsi="Times New Roman" w:cs="宋体"/>
          <w:sz w:val="24"/>
          <w:szCs w:val="24"/>
        </w:rPr>
        <w:t>，</w:t>
      </w:r>
      <w:r>
        <w:rPr>
          <w:rFonts w:hint="eastAsia" w:ascii="Times New Roman" w:hAnsi="宋体" w:cs="宋体"/>
          <w:sz w:val="24"/>
          <w:szCs w:val="24"/>
        </w:rPr>
        <w:t>测定，即得。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宋体" w:cs="宋体"/>
          <w:sz w:val="24"/>
          <w:szCs w:val="24"/>
        </w:rPr>
        <w:t>本品按干燥品计算，</w:t>
      </w:r>
      <w:bookmarkStart w:id="1" w:name="_Hlk14254505"/>
      <w:r>
        <w:rPr>
          <w:rFonts w:hint="eastAsia" w:ascii="Times New Roman" w:hAnsi="宋体" w:cs="宋体"/>
          <w:sz w:val="24"/>
          <w:szCs w:val="24"/>
        </w:rPr>
        <w:t>含</w:t>
      </w:r>
      <w:bookmarkStart w:id="2" w:name="_Hlk14251632"/>
      <w:r>
        <w:rPr>
          <w:rFonts w:hint="eastAsia" w:ascii="Times New Roman" w:hAnsi="宋体" w:cs="宋体"/>
          <w:sz w:val="24"/>
          <w:szCs w:val="24"/>
        </w:rPr>
        <w:t>人参皂苷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eastAsia" w:ascii="Times New Roman" w:hAnsi="宋体" w:cs="宋体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>
        <w:rPr>
          <w:rFonts w:hint="eastAsia" w:ascii="Times New Roman" w:hAnsi="宋体" w:cs="宋体"/>
          <w:sz w:val="24"/>
          <w:szCs w:val="24"/>
        </w:rPr>
        <w:t>）、人参皂苷</w:t>
      </w:r>
      <w:r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eastAsia" w:ascii="Times New Roman" w:hAnsi="宋体" w:cs="宋体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>
        <w:rPr>
          <w:rFonts w:hint="eastAsia" w:ascii="Times New Roman" w:hAnsi="宋体" w:cs="宋体"/>
          <w:sz w:val="24"/>
          <w:szCs w:val="24"/>
        </w:rPr>
        <w:t>）、人参皂苷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hint="eastAsia" w:ascii="Times New Roman" w:hAnsi="宋体" w:cs="宋体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48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>
        <w:rPr>
          <w:rFonts w:hint="eastAsia" w:ascii="Times New Roman" w:hAnsi="宋体" w:cs="宋体"/>
          <w:sz w:val="24"/>
          <w:szCs w:val="24"/>
        </w:rPr>
        <w:t>）、人参皂苷</w:t>
      </w: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hint="eastAsia" w:ascii="Times New Roman" w:hAnsi="宋体" w:cs="宋体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48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>
        <w:rPr>
          <w:rFonts w:hint="eastAsia" w:ascii="Times New Roman" w:hAnsi="宋体" w:cs="宋体"/>
          <w:sz w:val="24"/>
          <w:szCs w:val="24"/>
        </w:rPr>
        <w:t>）及三七皂苷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eastAsia" w:ascii="Times New Roman" w:hAnsi="宋体" w:cs="宋体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47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80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18</w:t>
      </w:r>
      <w:bookmarkEnd w:id="2"/>
      <w:r>
        <w:rPr>
          <w:rFonts w:hint="eastAsia" w:ascii="Times New Roman" w:hAnsi="宋体" w:cs="宋体"/>
          <w:sz w:val="24"/>
          <w:szCs w:val="24"/>
        </w:rPr>
        <w:t>）的总量不得少于</w:t>
      </w:r>
      <w:r>
        <w:rPr>
          <w:rFonts w:ascii="Times New Roman" w:hAnsi="Times New Roman" w:cs="Times New Roman"/>
          <w:sz w:val="24"/>
          <w:szCs w:val="24"/>
        </w:rPr>
        <w:t>8.0</w:t>
      </w:r>
      <w:r>
        <w:rPr>
          <w:rFonts w:hint="eastAsia" w:ascii="Times New Roman" w:hAnsi="宋体" w:cs="宋体"/>
          <w:sz w:val="24"/>
          <w:szCs w:val="24"/>
        </w:rPr>
        <w:t>％</w:t>
      </w:r>
      <w:bookmarkEnd w:id="1"/>
      <w:r>
        <w:rPr>
          <w:rFonts w:hint="eastAsia" w:ascii="Times New Roman" w:hAnsi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【性味与归经】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甘、微苦，温。归肝、胃经。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【功能与主治】</w:t>
      </w:r>
      <w:r>
        <w:rPr>
          <w:rFonts w:ascii="Times New Roman" w:hAnsi="黑体" w:eastAsia="黑体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散瘀止血，消肿定痛。用于咯血，吐血，衄血，便血，崩漏，外伤出血，胸腹刺痛，跌扑肿痛。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【用法与用量】</w:t>
      </w:r>
      <w:r>
        <w:rPr>
          <w:rFonts w:ascii="Times New Roman" w:hAnsi="黑体" w:eastAsia="黑体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宋体" w:cs="宋体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9 g</w:t>
      </w:r>
      <w:r>
        <w:rPr>
          <w:rFonts w:hint="eastAsia" w:ascii="Times New Roman" w:hAnsi="宋体" w:cs="宋体"/>
          <w:sz w:val="24"/>
          <w:szCs w:val="24"/>
        </w:rPr>
        <w:t>；吞服，一次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宋体" w:cs="宋体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3g</w:t>
      </w:r>
      <w:r>
        <w:rPr>
          <w:rFonts w:hint="eastAsia" w:ascii="Times New Roman" w:hAnsi="宋体" w:cs="宋体"/>
          <w:sz w:val="24"/>
          <w:szCs w:val="24"/>
        </w:rPr>
        <w:t>。外用适量。</w:t>
      </w:r>
    </w:p>
    <w:p>
      <w:pPr>
        <w:spacing w:line="360" w:lineRule="auto"/>
        <w:ind w:firstLine="480" w:firstLineChars="200"/>
        <w:rPr>
          <w:rFonts w:hint="eastAsia" w:ascii="Times New Roman" w:hAnsi="宋体" w:cs="宋体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【注意】</w:t>
      </w:r>
      <w:r>
        <w:rPr>
          <w:rFonts w:ascii="Times New Roman" w:hAnsi="黑体" w:eastAsia="黑体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孕妇慎用。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黑体" w:eastAsia="黑体" w:cs="黑体"/>
          <w:sz w:val="24"/>
          <w:szCs w:val="24"/>
        </w:rPr>
        <w:t>【贮藏】</w:t>
      </w:r>
      <w:r>
        <w:rPr>
          <w:rFonts w:ascii="Times New Roman" w:hAnsi="黑体" w:eastAsia="黑体" w:cs="Times New Roman"/>
          <w:sz w:val="24"/>
          <w:szCs w:val="24"/>
        </w:rPr>
        <w:t xml:space="preserve">  </w:t>
      </w:r>
      <w:r>
        <w:rPr>
          <w:rFonts w:hint="eastAsia" w:ascii="Times New Roman" w:hAnsi="宋体" w:cs="宋体"/>
          <w:sz w:val="24"/>
          <w:szCs w:val="24"/>
        </w:rPr>
        <w:t>密封。置阴凉干燥处，防蛀。</w:t>
      </w: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 w:ascii="黑体" w:hAnsi="黑体" w:eastAsia="黑体" w:cs="黑体"/>
        <w:sz w:val="52"/>
        <w:szCs w:val="52"/>
        <w:lang w:val="en-US" w:eastAsia="zh-CN"/>
      </w:rPr>
    </w:pPr>
    <w:r>
      <w:rPr>
        <w:rFonts w:hint="eastAsia" w:ascii="黑体" w:hAnsi="黑体" w:eastAsia="黑体" w:cs="黑体"/>
        <w:sz w:val="52"/>
        <w:szCs w:val="52"/>
        <w:lang w:val="en-US" w:eastAsia="zh-CN"/>
      </w:rPr>
      <w:t>湖北省中药饮片质量标准</w:t>
    </w:r>
  </w:p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300" w:lineRule="exact"/>
      <w:jc w:val="center"/>
      <w:textAlignment w:val="auto"/>
      <w:rPr>
        <w:rFonts w:hint="eastAsia" w:ascii="黑体" w:hAnsi="黑体" w:eastAsia="黑体" w:cs="黑体"/>
        <w:sz w:val="52"/>
        <w:szCs w:val="52"/>
        <w:lang w:val="en-US" w:eastAsia="zh-CN"/>
      </w:rPr>
    </w:pPr>
  </w:p>
  <w:p>
    <w:pPr>
      <w:pBdr>
        <w:bottom w:val="single" w:color="auto" w:sz="4" w:space="0"/>
      </w:pBdr>
      <w:jc w:val="right"/>
      <w:rPr>
        <w:rFonts w:hint="default" w:ascii="Times New Roman" w:hAnsi="Times New Roman" w:cs="Times New Roman"/>
        <w:sz w:val="36"/>
        <w:szCs w:val="36"/>
        <w:lang w:val="en-US" w:eastAsia="zh-CN"/>
      </w:rPr>
    </w:pPr>
    <w:r>
      <w:rPr>
        <w:rFonts w:hint="eastAsia" w:ascii="宋体" w:hAnsi="宋体" w:eastAsia="宋体" w:cs="宋体"/>
        <w:b w:val="0"/>
        <w:bCs w:val="0"/>
        <w:sz w:val="36"/>
        <w:szCs w:val="36"/>
        <w:lang w:val="en-US" w:eastAsia="zh-CN"/>
      </w:rPr>
      <w:t>鄂</w:t>
    </w:r>
    <w:r>
      <w:rPr>
        <w:rFonts w:hint="eastAsia" w:ascii="Times New Roman" w:hAnsi="Times New Roman" w:cs="Times New Roman"/>
        <w:sz w:val="36"/>
        <w:szCs w:val="36"/>
        <w:lang w:val="en-US" w:eastAsia="zh-CN"/>
      </w:rPr>
      <w:t>YP-20220002</w:t>
    </w:r>
  </w:p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ZGEyMWZkNzY5NzMwOWM2MmNkZjM4OTQwZTFlNmQifQ=="/>
  </w:docVars>
  <w:rsids>
    <w:rsidRoot w:val="00E73F8F"/>
    <w:rsid w:val="00046E2F"/>
    <w:rsid w:val="000610BF"/>
    <w:rsid w:val="000D3702"/>
    <w:rsid w:val="000F68DC"/>
    <w:rsid w:val="00193DBF"/>
    <w:rsid w:val="001F2C86"/>
    <w:rsid w:val="0020215F"/>
    <w:rsid w:val="00260344"/>
    <w:rsid w:val="002A71BA"/>
    <w:rsid w:val="002D47AD"/>
    <w:rsid w:val="003413CE"/>
    <w:rsid w:val="00354C0D"/>
    <w:rsid w:val="003B58E0"/>
    <w:rsid w:val="003B5CDD"/>
    <w:rsid w:val="003F0743"/>
    <w:rsid w:val="00450AE3"/>
    <w:rsid w:val="00474428"/>
    <w:rsid w:val="0051555A"/>
    <w:rsid w:val="00526CB1"/>
    <w:rsid w:val="00537159"/>
    <w:rsid w:val="00576C96"/>
    <w:rsid w:val="005B3B53"/>
    <w:rsid w:val="00613B41"/>
    <w:rsid w:val="00623FD2"/>
    <w:rsid w:val="00624716"/>
    <w:rsid w:val="006949A5"/>
    <w:rsid w:val="006C67AE"/>
    <w:rsid w:val="007354A4"/>
    <w:rsid w:val="007909BF"/>
    <w:rsid w:val="007A6BA8"/>
    <w:rsid w:val="00812CB7"/>
    <w:rsid w:val="00824025"/>
    <w:rsid w:val="00983636"/>
    <w:rsid w:val="009D6D9E"/>
    <w:rsid w:val="00A07E3E"/>
    <w:rsid w:val="00A1460E"/>
    <w:rsid w:val="00A40E6B"/>
    <w:rsid w:val="00A857F1"/>
    <w:rsid w:val="00A86999"/>
    <w:rsid w:val="00AA0520"/>
    <w:rsid w:val="00AC4A61"/>
    <w:rsid w:val="00B67E5D"/>
    <w:rsid w:val="00B75BDC"/>
    <w:rsid w:val="00BB61FE"/>
    <w:rsid w:val="00C130AD"/>
    <w:rsid w:val="00C24716"/>
    <w:rsid w:val="00CB650C"/>
    <w:rsid w:val="00CC145F"/>
    <w:rsid w:val="00D519C2"/>
    <w:rsid w:val="00D93379"/>
    <w:rsid w:val="00D93832"/>
    <w:rsid w:val="00DB0561"/>
    <w:rsid w:val="00DE5222"/>
    <w:rsid w:val="00DE6EB9"/>
    <w:rsid w:val="00E439BA"/>
    <w:rsid w:val="00E70FD9"/>
    <w:rsid w:val="00E73F8F"/>
    <w:rsid w:val="00E8479F"/>
    <w:rsid w:val="00F03304"/>
    <w:rsid w:val="00F111F6"/>
    <w:rsid w:val="00F12D01"/>
    <w:rsid w:val="00F134D5"/>
    <w:rsid w:val="00F142C7"/>
    <w:rsid w:val="00F70373"/>
    <w:rsid w:val="00F728C4"/>
    <w:rsid w:val="00FA6295"/>
    <w:rsid w:val="01321ECC"/>
    <w:rsid w:val="03952B20"/>
    <w:rsid w:val="0954303A"/>
    <w:rsid w:val="097E79C7"/>
    <w:rsid w:val="0B2402A5"/>
    <w:rsid w:val="0B524AA2"/>
    <w:rsid w:val="0C604F8D"/>
    <w:rsid w:val="0CBF7E0A"/>
    <w:rsid w:val="0D344D8D"/>
    <w:rsid w:val="0E433265"/>
    <w:rsid w:val="116B03CF"/>
    <w:rsid w:val="12985C51"/>
    <w:rsid w:val="12C9427B"/>
    <w:rsid w:val="1CE41547"/>
    <w:rsid w:val="226342FE"/>
    <w:rsid w:val="29F50F7F"/>
    <w:rsid w:val="2BE832F8"/>
    <w:rsid w:val="3861019B"/>
    <w:rsid w:val="3A2B6DA9"/>
    <w:rsid w:val="4DB37359"/>
    <w:rsid w:val="4E293ADD"/>
    <w:rsid w:val="5DC4060A"/>
    <w:rsid w:val="5DE850D2"/>
    <w:rsid w:val="6C4F0C8D"/>
    <w:rsid w:val="6C543C4F"/>
    <w:rsid w:val="703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Times New Roman" w:hAnsi="Times New Roman" w:eastAsiaTheme="majorEastAsia" w:cstheme="majorBidi"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17">
    <w:name w:val="标题 Char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标题 2 Char"/>
    <w:basedOn w:val="11"/>
    <w:link w:val="3"/>
    <w:qFormat/>
    <w:uiPriority w:val="9"/>
    <w:rPr>
      <w:rFonts w:ascii="Times New Roman" w:hAnsi="Times New Roman" w:eastAsiaTheme="majorEastAsia" w:cstheme="majorBidi"/>
      <w:bCs/>
      <w:sz w:val="24"/>
      <w:szCs w:val="32"/>
    </w:rPr>
  </w:style>
  <w:style w:type="table" w:customStyle="1" w:styleId="19">
    <w:name w:val="三线表"/>
    <w:basedOn w:val="9"/>
    <w:qFormat/>
    <w:uiPriority w:val="99"/>
    <w:rPr>
      <w:rFonts w:ascii="Calibri" w:hAnsi="Calibri" w:eastAsia="宋体" w:cs="Times New Roman"/>
      <w:sz w:val="21"/>
    </w:rPr>
    <w:tblPr>
      <w:jc w:val="center"/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cPr>
        <w:tcBorders>
          <w:top w:val="single" w:color="auto" w:sz="12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51C0-6B13-42FF-A39E-63F2E94876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2027</Words>
  <Characters>2409</Characters>
  <Lines>14</Lines>
  <Paragraphs>4</Paragraphs>
  <TotalTime>1</TotalTime>
  <ScaleCrop>false</ScaleCrop>
  <LinksUpToDate>false</LinksUpToDate>
  <CharactersWithSpaces>2453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2021-09-01T09:56:00Z</dcterms:created>
  <dc:creator>zyj</dc:creator>
  <cp:lastModifiedBy>Administrator</cp:lastModifiedBy>
  <dcterms:modified xsi:type="dcterms:W3CDTF">2022-07-05T03:02:46Z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802255768FD245F287386CF489D6859A</vt:lpwstr>
  </property>
</Properties>
</file>