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藤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茶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Tengcha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 xml:space="preserve">AMPELOPSIS GROSSEDENTATAE </w:t>
      </w:r>
      <w:r>
        <w:rPr>
          <w:rFonts w:hint="default" w:ascii="Times New Roman" w:hAnsi="Times New Roman" w:eastAsia="宋体" w:cs="Times New Roman"/>
          <w:b/>
          <w:bCs/>
          <w:caps/>
          <w:sz w:val="30"/>
          <w:szCs w:val="30"/>
        </w:rPr>
        <w:t xml:space="preserve">folium et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RAMULUS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本品为葡萄科植物显齿蛇葡萄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Ampelopsis grossedentata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Handel-Mazzetti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W. T. Wang的干燥茎叶。春季至秋季未结果前采收，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除去杂质，</w:t>
      </w:r>
      <w:r>
        <w:rPr>
          <w:rFonts w:hint="default" w:ascii="Times New Roman" w:hAnsi="Times New Roman" w:eastAsia="宋体" w:cs="Times New Roman"/>
          <w:sz w:val="24"/>
          <w:szCs w:val="24"/>
        </w:rPr>
        <w:t>摊晾、杀青、揉捻、干燥或经渥堆后干燥。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性状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本品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呈</w:t>
      </w:r>
      <w:r>
        <w:rPr>
          <w:rFonts w:hint="default" w:ascii="Times New Roman" w:hAnsi="Times New Roman" w:eastAsia="宋体" w:cs="Times New Roman"/>
          <w:sz w:val="24"/>
          <w:szCs w:val="24"/>
        </w:rPr>
        <w:t>卷曲形或螺形。主茎直径0.5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2mm，具纵棱，棕黄色或灰绿色，无毛，质脆，易折断，断面淡黄色，平坦。卷须2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叉分枝</w:t>
      </w:r>
      <w:r>
        <w:rPr>
          <w:rFonts w:hint="default" w:ascii="Times New Roman" w:hAnsi="Times New Roman" w:eastAsia="宋体" w:cs="Times New Roman"/>
          <w:sz w:val="24"/>
          <w:szCs w:val="24"/>
        </w:rPr>
        <w:t>；叶多皱缩，完整者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展平后呈</w:t>
      </w:r>
      <w:r>
        <w:rPr>
          <w:rFonts w:hint="default" w:ascii="Times New Roman" w:hAnsi="Times New Roman" w:eastAsia="宋体" w:cs="Times New Roman"/>
          <w:sz w:val="24"/>
          <w:szCs w:val="24"/>
        </w:rPr>
        <w:t>卵状椭圆形或卵圆形，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基部阔楔形或近圆形</w:t>
      </w:r>
      <w:r>
        <w:rPr>
          <w:rFonts w:hint="default" w:ascii="Times New Roman" w:hAnsi="Times New Roman" w:eastAsia="宋体" w:cs="Times New Roman"/>
          <w:sz w:val="24"/>
          <w:szCs w:val="24"/>
        </w:rPr>
        <w:t>，略不对称，叶边缘具2～5个锯齿，叶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上下两面</w:t>
      </w:r>
      <w:r>
        <w:rPr>
          <w:rFonts w:hint="default" w:ascii="Times New Roman" w:hAnsi="Times New Roman" w:eastAsia="宋体" w:cs="Times New Roman"/>
          <w:sz w:val="24"/>
          <w:szCs w:val="24"/>
        </w:rPr>
        <w:t>无毛，呈黄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绿色</w:t>
      </w:r>
      <w:r>
        <w:rPr>
          <w:rFonts w:hint="default" w:ascii="Times New Roman" w:hAnsi="Times New Roman" w:eastAsia="宋体" w:cs="Times New Roman"/>
          <w:sz w:val="24"/>
          <w:szCs w:val="24"/>
        </w:rPr>
        <w:t>或灰绿色，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幼叶</w:t>
      </w:r>
      <w:r>
        <w:rPr>
          <w:rFonts w:hint="default" w:ascii="Times New Roman" w:hAnsi="Times New Roman" w:eastAsia="宋体" w:cs="Times New Roman"/>
          <w:sz w:val="24"/>
          <w:szCs w:val="24"/>
        </w:rPr>
        <w:t>偶见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紫红色</w:t>
      </w:r>
      <w:r>
        <w:rPr>
          <w:rFonts w:hint="default" w:ascii="Times New Roman" w:hAnsi="Times New Roman" w:eastAsia="宋体" w:cs="Times New Roman"/>
          <w:sz w:val="24"/>
          <w:szCs w:val="24"/>
        </w:rPr>
        <w:t>，叶表面常见一层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白霜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，质较脆。叶柄黄</w:t>
      </w:r>
      <w:r>
        <w:rPr>
          <w:rFonts w:hint="default" w:ascii="Times New Roman" w:hAnsi="Times New Roman" w:eastAsia="宋体" w:cs="Times New Roman"/>
          <w:sz w:val="24"/>
          <w:szCs w:val="24"/>
          <w:lang w:val="zh-CN"/>
        </w:rPr>
        <w:t>绿色</w:t>
      </w:r>
      <w:r>
        <w:rPr>
          <w:rFonts w:hint="default" w:ascii="Times New Roman" w:hAnsi="Times New Roman" w:eastAsia="宋体" w:cs="Times New Roman"/>
          <w:sz w:val="24"/>
          <w:szCs w:val="24"/>
        </w:rPr>
        <w:t>或灰绿色，长1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cm</w:t>
      </w:r>
      <w:r>
        <w:rPr>
          <w:rFonts w:hint="default" w:ascii="Times New Roman" w:hAnsi="Times New Roman" w:eastAsia="宋体" w:cs="Times New Roman"/>
          <w:sz w:val="24"/>
          <w:szCs w:val="24"/>
        </w:rPr>
        <w:t>，无毛。略具草腥气，味微苦涩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回甘。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鉴别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（1）本品叶横切面：叶上下表皮细胞类长方形，排列紧密，内侧为厚角组织；主脉突起，外侧可见单细胞非腺毛；栅栏组织由1列排列紧密的长方形细胞组成；海绵组织由数列排列疏松的类圆形细胞组成，常见草酸钙簇晶和草酸钙针晶；主脉维管束外韧型，外侧分布有4个新月形维管束鞘纤维群；韧皮部薄壁细胞散有较多棕色块、草酸钙簇晶和草酸钙针晶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取本品粉末0.25g，加乙醇10ml，超声处理10分钟，滤过，取滤液作为供试品溶液。另取藤茶对照药材0.25g，同法制成对照药材溶液。再取右旋二氢杨梅素、杨梅苷对照品，加乙醇制成每1ml含3mg的溶液，作为对照品溶液。照薄层色谱法（《中国药典》2020年版四部通则0502）试验，吸取上述三种溶液各2μl，分别点于同一硅胶G薄层板上，以甲苯-乙酸乙酯-甲酸（5∶4∶1）为展开剂，展开，取出，晾干，喷以三氯化铝试液，在105℃加热至斑点显色清晰，置紫外光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365nm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下检视。供试品色谱中，在与对照药材色谱和对照品色谱相应的位置上，显相同颜色的荧光斑点。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水分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不得过10.0%（《中国药典》2020年版四部通则0832第二法）。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总灰分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不得过7.0%（《中国药典》2020年版四部通则2302）。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酸不溶性灰分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不得过1.0%（《中国药典》2020年版四部通则2302）。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浸出物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照醇溶性浸出物测定法（《中国药典》2020年版四部通则2201）项下的热浸法测定，用75%乙醇作溶剂，不得少于36.0%。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特征图谱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照高效液相色谱法（《中国药典》2020年版四部通则0512）测定。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色谱条件与系统适用性试验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以十八烷基硅烷键合硅胶为填充剂；以甲醇为流动相A，以0.1%磷酸溶液为流动相B，按下表中的规定进行梯度洗脱；柱温为30℃；流速为每分钟0.8ml；检测波长为230nm；理论板数按右旋二氢杨梅素峰计算应不低于5000。</w:t>
      </w:r>
    </w:p>
    <w:tbl>
      <w:tblPr>
        <w:tblStyle w:val="8"/>
        <w:tblW w:w="606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025"/>
        <w:gridCol w:w="19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时间（分钟）</w:t>
            </w:r>
          </w:p>
        </w:tc>
        <w:tc>
          <w:tcPr>
            <w:tcW w:w="202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流动相A（%）</w:t>
            </w:r>
          </w:p>
        </w:tc>
        <w:tc>
          <w:tcPr>
            <w:tcW w:w="196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流动相B（%）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0～20</w:t>
            </w:r>
          </w:p>
        </w:tc>
        <w:tc>
          <w:tcPr>
            <w:tcW w:w="202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20→30</w:t>
            </w:r>
          </w:p>
        </w:tc>
        <w:tc>
          <w:tcPr>
            <w:tcW w:w="196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80→70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20～40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30→45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70→55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40～48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45→65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55→35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48～50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65→20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35→80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50～60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参照物溶液的制备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取右旋二氢杨梅素对照品、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花旗松素</w:t>
      </w:r>
      <w:r>
        <w:rPr>
          <w:rFonts w:hint="default" w:ascii="Times New Roman" w:hAnsi="Times New Roman" w:eastAsia="宋体" w:cs="Times New Roman"/>
          <w:sz w:val="24"/>
          <w:szCs w:val="24"/>
        </w:rPr>
        <w:t>对照品和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杨梅苷</w:t>
      </w:r>
      <w:r>
        <w:rPr>
          <w:rFonts w:hint="default" w:ascii="Times New Roman" w:hAnsi="Times New Roman" w:eastAsia="宋体" w:cs="Times New Roman"/>
          <w:sz w:val="24"/>
          <w:szCs w:val="24"/>
        </w:rPr>
        <w:t>对照品适量，精密称定，分别加甲醇-0.1%磷酸溶液（60:40）制成每1ml含右旋二氢杨梅素100µg、花旗松素10µg和杨梅苷15µg的溶液，即得。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供试品溶液的制备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取本品粉末（过三号筛）约0.5g，精密称定，置具塞锥形瓶中，精密加入甲醇-0.1%磷酸溶液（60:40）50ml，称定重量，超声处理（功率250W，频率44kHz）30分钟，放冷，再称定重量，用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上述溶液</w:t>
      </w:r>
      <w:r>
        <w:rPr>
          <w:rFonts w:hint="default" w:ascii="Times New Roman" w:hAnsi="Times New Roman" w:eastAsia="宋体" w:cs="Times New Roman"/>
          <w:sz w:val="24"/>
          <w:szCs w:val="24"/>
        </w:rPr>
        <w:t>补足减失的重量，摇匀，滤过，取续滤液，即得。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测定法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分别精密吸取参照物溶液和供试品溶液各10μl，注入液相色谱仪，测定，即得。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供试品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色谱</w:t>
      </w:r>
      <w:r>
        <w:rPr>
          <w:rFonts w:hint="default" w:ascii="Times New Roman" w:hAnsi="Times New Roman" w:eastAsia="宋体" w:cs="Times New Roman"/>
          <w:sz w:val="24"/>
          <w:szCs w:val="24"/>
        </w:rPr>
        <w:t>中应呈现5个特征峰，其中3个峰应分别与相应的参照物峰保留时间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相一致</w:t>
      </w:r>
      <w:r>
        <w:rPr>
          <w:rFonts w:hint="default" w:ascii="Times New Roman" w:hAnsi="Times New Roman" w:eastAsia="宋体" w:cs="Times New Roman"/>
          <w:sz w:val="24"/>
          <w:szCs w:val="24"/>
        </w:rPr>
        <w:t>；与右旋二氢杨梅素参照物峰相应的峰为S1峰，与杨梅苷参照物峰相应的峰为S2峰，计算峰2和S1峰、峰5和S2峰的相对保留时间，其相对保留时间应在规定值的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±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%范围之内。规定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>值为：1.2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>（峰2/S1）、1.1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>（峰5/S2）。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808730" cy="1810385"/>
            <wp:effectExtent l="0" t="0" r="1270" b="1841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21378" t="18114" r="6255" b="26891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对照特征图谱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峰1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S1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：右旋二氢杨梅素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峰3：花旗松素    峰4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S2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：杨梅苷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含量测定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照高效液相色谱法（《中国药典》2020年版四部通则0512）测定。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色谱条件与系统适用性试验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以十八烷基硅烷键合硅胶为填充剂；以甲醇-0.1%磷酸溶液（32:68）为流动相；检测波长为290nm。理论板数按右旋二氢杨梅素峰计算应不低于5000。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对照品溶液的制备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取右旋二氢杨梅素对照品适量，精密称定，加甲醇-0.1%磷酸溶液（60:40）制成每1ml含50μg的溶液，即得。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供试品溶液的制备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精密量取〔特征图谱〕项下的供试品溶液3ml，置100ml量瓶中，用甲醇-0.1%磷酸溶液（60:40）稀释至刻度，摇匀，即得。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测定法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分别精密吸取对照品溶液和供试品溶液各5～10μl，注入液相色谱仪，测定，即得。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本品按干燥品计算，含右旋二氢杨梅素（C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）不得少于20.0%。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饮片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lang w:eastAsia="zh-CN"/>
        </w:rPr>
        <w:t>炮制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除去杂质和老梗，筛去灰屑。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性状</w:t>
      </w:r>
      <w:r>
        <w:rPr>
          <w:rFonts w:hint="default" w:ascii="Times New Roman" w:hAnsi="Times New Roman" w:eastAsia="宋体" w:cs="Times New Roman"/>
          <w:sz w:val="24"/>
          <w:szCs w:val="24"/>
        </w:rPr>
        <w:t>】、【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鉴别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特征图谱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含量测定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同药材。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性味与归经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甘、淡、微涩，性凉。归肺、肝、肾、胃经。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功能与主治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清热解毒，利湿消肿，泻火平肝，活血化浊，解酒毒。用于感冒风热，咽喉肿痛，口舌生疮，痈肿疮疖，湿热黄疸，痢疾，泄泻，小便淋痛，目赤肿痛，头痛眩晕，血浊病（高脂血症），酒毒伤中等。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用法与用量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9～30g；或泡服。外用适量。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贮藏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置干燥处。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="黑体" w:hAnsi="黑体" w:eastAsia="黑体" w:cs="黑体"/>
        <w:sz w:val="52"/>
        <w:szCs w:val="52"/>
        <w:lang w:val="en-US" w:eastAsia="zh-CN"/>
      </w:rPr>
    </w:pPr>
    <w:r>
      <w:rPr>
        <w:rFonts w:hint="eastAsia" w:ascii="黑体" w:hAnsi="黑体" w:eastAsia="黑体" w:cs="黑体"/>
        <w:sz w:val="52"/>
        <w:szCs w:val="52"/>
        <w:lang w:val="en-US" w:eastAsia="zh-CN"/>
      </w:rPr>
      <w:t>湖北省中药材质量标准</w:t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300" w:lineRule="exact"/>
      <w:jc w:val="center"/>
      <w:textAlignment w:val="auto"/>
      <w:rPr>
        <w:rFonts w:hint="eastAsia" w:ascii="黑体" w:hAnsi="黑体" w:eastAsia="黑体" w:cs="黑体"/>
        <w:sz w:val="52"/>
        <w:szCs w:val="52"/>
        <w:lang w:val="en-US" w:eastAsia="zh-CN"/>
      </w:rPr>
    </w:pPr>
  </w:p>
  <w:p>
    <w:pPr>
      <w:pBdr>
        <w:bottom w:val="single" w:color="auto" w:sz="4" w:space="0"/>
      </w:pBdr>
      <w:jc w:val="right"/>
      <w:rPr>
        <w:rFonts w:hint="default" w:ascii="Times New Roman" w:hAnsi="Times New Roman" w:cs="Times New Roman"/>
        <w:sz w:val="36"/>
        <w:szCs w:val="36"/>
        <w:lang w:val="en-US" w:eastAsia="zh-CN"/>
      </w:rPr>
    </w:pPr>
    <w:r>
      <w:rPr>
        <w:rFonts w:hint="eastAsia" w:ascii="宋体" w:hAnsi="宋体" w:eastAsia="宋体" w:cs="宋体"/>
        <w:b w:val="0"/>
        <w:bCs w:val="0"/>
        <w:sz w:val="36"/>
        <w:szCs w:val="36"/>
        <w:lang w:val="en-US" w:eastAsia="zh-CN"/>
      </w:rPr>
      <w:t>鄂</w:t>
    </w:r>
    <w:r>
      <w:rPr>
        <w:rFonts w:hint="eastAsia" w:ascii="Times New Roman" w:hAnsi="Times New Roman" w:cs="Times New Roman"/>
        <w:sz w:val="36"/>
        <w:szCs w:val="36"/>
        <w:lang w:val="en-US" w:eastAsia="zh-CN"/>
      </w:rPr>
      <w:t>YC-20220001</w:t>
    </w: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GEyMWZkNzY5NzMwOWM2MmNkZjM4OTQwZTFlNmQifQ=="/>
  </w:docVars>
  <w:rsids>
    <w:rsidRoot w:val="00E73F8F"/>
    <w:rsid w:val="00046E2F"/>
    <w:rsid w:val="000610BF"/>
    <w:rsid w:val="000D3702"/>
    <w:rsid w:val="000F68DC"/>
    <w:rsid w:val="00193DBF"/>
    <w:rsid w:val="001F2C86"/>
    <w:rsid w:val="0020215F"/>
    <w:rsid w:val="00260344"/>
    <w:rsid w:val="002A71BA"/>
    <w:rsid w:val="002D47AD"/>
    <w:rsid w:val="003413CE"/>
    <w:rsid w:val="00354C0D"/>
    <w:rsid w:val="003B58E0"/>
    <w:rsid w:val="003B5CDD"/>
    <w:rsid w:val="003F0743"/>
    <w:rsid w:val="00450AE3"/>
    <w:rsid w:val="00474428"/>
    <w:rsid w:val="0051555A"/>
    <w:rsid w:val="00526CB1"/>
    <w:rsid w:val="00537159"/>
    <w:rsid w:val="00576C96"/>
    <w:rsid w:val="005B3B53"/>
    <w:rsid w:val="00613B41"/>
    <w:rsid w:val="00623FD2"/>
    <w:rsid w:val="00624716"/>
    <w:rsid w:val="006949A5"/>
    <w:rsid w:val="006C67AE"/>
    <w:rsid w:val="007354A4"/>
    <w:rsid w:val="007909BF"/>
    <w:rsid w:val="007A6BA8"/>
    <w:rsid w:val="00812CB7"/>
    <w:rsid w:val="00824025"/>
    <w:rsid w:val="00983636"/>
    <w:rsid w:val="009D6D9E"/>
    <w:rsid w:val="00A07E3E"/>
    <w:rsid w:val="00A1460E"/>
    <w:rsid w:val="00A40E6B"/>
    <w:rsid w:val="00A857F1"/>
    <w:rsid w:val="00A86999"/>
    <w:rsid w:val="00AA0520"/>
    <w:rsid w:val="00AC4A61"/>
    <w:rsid w:val="00B67E5D"/>
    <w:rsid w:val="00B75BDC"/>
    <w:rsid w:val="00BB61FE"/>
    <w:rsid w:val="00C130AD"/>
    <w:rsid w:val="00C24716"/>
    <w:rsid w:val="00CB650C"/>
    <w:rsid w:val="00CC145F"/>
    <w:rsid w:val="00D519C2"/>
    <w:rsid w:val="00D93379"/>
    <w:rsid w:val="00D93832"/>
    <w:rsid w:val="00DB0561"/>
    <w:rsid w:val="00DE5222"/>
    <w:rsid w:val="00DE6EB9"/>
    <w:rsid w:val="00E439BA"/>
    <w:rsid w:val="00E70FD9"/>
    <w:rsid w:val="00E73F8F"/>
    <w:rsid w:val="00E8479F"/>
    <w:rsid w:val="00F03304"/>
    <w:rsid w:val="00F111F6"/>
    <w:rsid w:val="00F12D01"/>
    <w:rsid w:val="00F134D5"/>
    <w:rsid w:val="00F142C7"/>
    <w:rsid w:val="00F70373"/>
    <w:rsid w:val="00F728C4"/>
    <w:rsid w:val="00FA6295"/>
    <w:rsid w:val="01321ECC"/>
    <w:rsid w:val="03952B20"/>
    <w:rsid w:val="0954303A"/>
    <w:rsid w:val="097E79C7"/>
    <w:rsid w:val="0B2402A5"/>
    <w:rsid w:val="0B524AA2"/>
    <w:rsid w:val="0C604F8D"/>
    <w:rsid w:val="0D344D8D"/>
    <w:rsid w:val="0E433265"/>
    <w:rsid w:val="116B03CF"/>
    <w:rsid w:val="12985C51"/>
    <w:rsid w:val="12C9427B"/>
    <w:rsid w:val="1CE41547"/>
    <w:rsid w:val="226342FE"/>
    <w:rsid w:val="2BE832F8"/>
    <w:rsid w:val="3861019B"/>
    <w:rsid w:val="3A2B6DA9"/>
    <w:rsid w:val="4DB37359"/>
    <w:rsid w:val="4E293ADD"/>
    <w:rsid w:val="5DC4060A"/>
    <w:rsid w:val="5DE850D2"/>
    <w:rsid w:val="6C4F0C8D"/>
    <w:rsid w:val="6C543C4F"/>
    <w:rsid w:val="703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Times New Roman" w:hAnsi="Times New Roman" w:eastAsiaTheme="majorEastAsia" w:cstheme="majorBidi"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16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Cs/>
      <w:sz w:val="24"/>
      <w:szCs w:val="32"/>
    </w:rPr>
  </w:style>
  <w:style w:type="table" w:customStyle="1" w:styleId="18">
    <w:name w:val="三线表"/>
    <w:basedOn w:val="8"/>
    <w:qFormat/>
    <w:uiPriority w:val="99"/>
    <w:rPr>
      <w:rFonts w:ascii="Calibri" w:hAnsi="Calibri" w:eastAsia="宋体" w:cs="Times New Roman"/>
      <w:sz w:val="21"/>
    </w:rPr>
    <w:tblPr>
      <w:jc w:val="center"/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51C0-6B13-42FF-A39E-63F2E9487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1565</Words>
  <Characters>1927</Characters>
  <Lines>14</Lines>
  <Paragraphs>4</Paragraphs>
  <TotalTime>4</TotalTime>
  <ScaleCrop>false</ScaleCrop>
  <LinksUpToDate>false</LinksUpToDate>
  <CharactersWithSpaces>1975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zyj</dc:creator>
  <cp:lastModifiedBy>Administrator</cp:lastModifiedBy>
  <dcterms:modified xsi:type="dcterms:W3CDTF">2022-07-05T02:34:23Z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A5A3F66428494858B848B7834F44FC44</vt:lpwstr>
  </property>
</Properties>
</file>