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eastAsia="黑体"/>
          <w:kern w:val="0"/>
          <w:sz w:val="32"/>
          <w:szCs w:val="32"/>
          <w:lang w:bidi="ar"/>
        </w:rPr>
      </w:pPr>
      <w:r>
        <w:rPr>
          <w:rFonts w:eastAsia="黑体"/>
          <w:kern w:val="0"/>
          <w:sz w:val="32"/>
          <w:szCs w:val="32"/>
          <w:lang w:bidi="ar"/>
        </w:rPr>
        <w:t>附件2</w:t>
      </w:r>
    </w:p>
    <w:p>
      <w:pPr>
        <w:pStyle w:val="5"/>
        <w:ind w:firstLine="440"/>
        <w:rPr>
          <w:kern w:val="0"/>
          <w:sz w:val="22"/>
          <w:szCs w:val="22"/>
          <w:lang w:bidi="ar"/>
        </w:rPr>
      </w:pPr>
    </w:p>
    <w:p>
      <w:pPr>
        <w:widowControl/>
        <w:jc w:val="center"/>
        <w:textAlignment w:val="center"/>
        <w:rPr>
          <w:rFonts w:eastAsia="方正小标宋简体"/>
          <w:color w:val="000000"/>
          <w:kern w:val="0"/>
          <w:sz w:val="44"/>
          <w:szCs w:val="44"/>
          <w:lang w:bidi="ar"/>
        </w:rPr>
      </w:pPr>
      <w:r>
        <w:rPr>
          <w:rFonts w:eastAsia="方正小标宋简体"/>
          <w:color w:val="000000"/>
          <w:kern w:val="0"/>
          <w:sz w:val="44"/>
          <w:szCs w:val="44"/>
          <w:lang w:bidi="ar"/>
        </w:rPr>
        <w:t>县域医共体紧密程度监测指标（试行）</w:t>
      </w:r>
    </w:p>
    <w:p>
      <w:pPr>
        <w:pStyle w:val="2"/>
        <w:rPr>
          <w:color w:val="000000"/>
          <w:lang w:bidi="ar"/>
        </w:rPr>
      </w:pPr>
    </w:p>
    <w:p>
      <w:pPr>
        <w:widowControl/>
        <w:jc w:val="left"/>
        <w:textAlignment w:val="center"/>
        <w:rPr>
          <w:rFonts w:eastAsia="仿宋_GB2312"/>
          <w:color w:val="000000"/>
          <w:kern w:val="0"/>
          <w:sz w:val="22"/>
          <w:szCs w:val="22"/>
          <w:lang w:bidi="ar"/>
        </w:rPr>
      </w:pPr>
      <w:r>
        <w:rPr>
          <w:rFonts w:eastAsia="仿宋_GB2312"/>
          <w:color w:val="000000"/>
          <w:kern w:val="0"/>
          <w:sz w:val="22"/>
          <w:szCs w:val="22"/>
          <w:lang w:bidi="ar"/>
        </w:rPr>
        <w:t>县域医共体名称：</w:t>
      </w:r>
      <w:r>
        <w:rPr>
          <w:rFonts w:eastAsia="仿宋_GB2312"/>
          <w:color w:val="000000"/>
          <w:kern w:val="0"/>
          <w:sz w:val="22"/>
          <w:szCs w:val="22"/>
          <w:u w:val="single"/>
          <w:lang w:bidi="ar"/>
        </w:rPr>
        <w:t xml:space="preserve">             </w:t>
      </w:r>
      <w:r>
        <w:rPr>
          <w:rFonts w:eastAsia="仿宋_GB2312"/>
          <w:color w:val="000000"/>
          <w:kern w:val="0"/>
          <w:sz w:val="22"/>
          <w:szCs w:val="22"/>
          <w:lang w:bidi="ar"/>
        </w:rPr>
        <w:t>，填表人：</w:t>
      </w:r>
      <w:r>
        <w:rPr>
          <w:rFonts w:eastAsia="仿宋_GB2312"/>
          <w:color w:val="000000"/>
          <w:kern w:val="0"/>
          <w:sz w:val="22"/>
          <w:szCs w:val="22"/>
          <w:u w:val="single"/>
          <w:lang w:bidi="ar"/>
        </w:rPr>
        <w:t xml:space="preserve">           </w:t>
      </w:r>
      <w:r>
        <w:rPr>
          <w:rFonts w:eastAsia="仿宋_GB2312"/>
          <w:color w:val="000000"/>
          <w:kern w:val="0"/>
          <w:sz w:val="22"/>
          <w:szCs w:val="22"/>
          <w:lang w:bidi="ar"/>
        </w:rPr>
        <w:t>，联系电话：</w:t>
      </w:r>
      <w:r>
        <w:rPr>
          <w:rFonts w:eastAsia="仿宋_GB2312"/>
          <w:color w:val="000000"/>
          <w:kern w:val="0"/>
          <w:sz w:val="22"/>
          <w:szCs w:val="22"/>
          <w:u w:val="single"/>
          <w:lang w:bidi="ar"/>
        </w:rPr>
        <w:t xml:space="preserve">           </w:t>
      </w:r>
    </w:p>
    <w:p>
      <w:pPr>
        <w:widowControl/>
        <w:jc w:val="left"/>
        <w:textAlignment w:val="center"/>
        <w:rPr>
          <w:rFonts w:eastAsia="仿宋_GB2312"/>
          <w:color w:val="000000"/>
          <w:kern w:val="0"/>
          <w:sz w:val="22"/>
          <w:szCs w:val="22"/>
          <w:lang w:bidi="ar"/>
        </w:rPr>
      </w:pPr>
      <w:r>
        <w:rPr>
          <w:rFonts w:eastAsia="仿宋_GB2312"/>
          <w:color w:val="000000"/>
          <w:kern w:val="0"/>
          <w:sz w:val="22"/>
          <w:szCs w:val="22"/>
          <w:lang w:bidi="ar"/>
        </w:rPr>
        <w:t>填表说明：本附件由县域医共体牵头医院填写，每个县域医共体填写一张。</w:t>
      </w:r>
    </w:p>
    <w:tbl>
      <w:tblPr>
        <w:tblStyle w:val="3"/>
        <w:tblW w:w="9354" w:type="dxa"/>
        <w:jc w:val="center"/>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411"/>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blHeader/>
          <w:jc w:val="center"/>
        </w:trPr>
        <w:tc>
          <w:tcPr>
            <w:tcW w:w="1259" w:type="dxa"/>
            <w:noWrap w:val="0"/>
            <w:vAlign w:val="center"/>
          </w:tcPr>
          <w:p>
            <w:pPr>
              <w:widowControl/>
              <w:spacing w:line="420" w:lineRule="exact"/>
              <w:jc w:val="center"/>
              <w:textAlignment w:val="center"/>
              <w:rPr>
                <w:rFonts w:eastAsia="黑体"/>
                <w:color w:val="000000"/>
                <w:kern w:val="0"/>
                <w:sz w:val="22"/>
                <w:szCs w:val="22"/>
                <w:lang w:bidi="ar"/>
              </w:rPr>
            </w:pPr>
            <w:r>
              <w:rPr>
                <w:rFonts w:eastAsia="黑体"/>
                <w:color w:val="000000"/>
                <w:kern w:val="0"/>
                <w:sz w:val="22"/>
                <w:szCs w:val="22"/>
                <w:lang w:bidi="ar"/>
              </w:rPr>
              <w:t>一级指标</w:t>
            </w:r>
          </w:p>
        </w:tc>
        <w:tc>
          <w:tcPr>
            <w:tcW w:w="3411" w:type="dxa"/>
            <w:noWrap w:val="0"/>
            <w:vAlign w:val="center"/>
          </w:tcPr>
          <w:p>
            <w:pPr>
              <w:widowControl/>
              <w:spacing w:line="420" w:lineRule="exact"/>
              <w:jc w:val="center"/>
              <w:textAlignment w:val="center"/>
              <w:rPr>
                <w:rFonts w:eastAsia="黑体"/>
                <w:color w:val="000000"/>
                <w:kern w:val="0"/>
                <w:sz w:val="22"/>
                <w:szCs w:val="22"/>
                <w:lang w:bidi="ar"/>
              </w:rPr>
            </w:pPr>
            <w:r>
              <w:rPr>
                <w:rFonts w:eastAsia="黑体"/>
                <w:color w:val="000000"/>
                <w:kern w:val="0"/>
                <w:sz w:val="22"/>
                <w:szCs w:val="22"/>
                <w:lang w:bidi="ar"/>
              </w:rPr>
              <w:t>二级指标</w:t>
            </w:r>
          </w:p>
        </w:tc>
        <w:tc>
          <w:tcPr>
            <w:tcW w:w="4684" w:type="dxa"/>
            <w:noWrap w:val="0"/>
            <w:vAlign w:val="center"/>
          </w:tcPr>
          <w:p>
            <w:pPr>
              <w:widowControl/>
              <w:spacing w:line="420" w:lineRule="exact"/>
              <w:jc w:val="center"/>
              <w:textAlignment w:val="center"/>
              <w:rPr>
                <w:rFonts w:eastAsia="黑体"/>
                <w:color w:val="000000"/>
                <w:kern w:val="0"/>
                <w:sz w:val="22"/>
                <w:szCs w:val="22"/>
                <w:lang w:bidi="ar"/>
              </w:rPr>
            </w:pPr>
            <w:r>
              <w:rPr>
                <w:rFonts w:eastAsia="黑体"/>
                <w:color w:val="000000"/>
                <w:kern w:val="0"/>
                <w:sz w:val="22"/>
                <w:szCs w:val="22"/>
                <w:lang w:bidi="ar"/>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restart"/>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一、有序就医格局基本形成</w:t>
            </w: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1.县域医共体内基层医疗卫生机构门急诊占比（%）</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县域医共体内基层医疗卫生机构门急诊人次/县域医共体门急诊总人次×100%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textAlignment w:val="center"/>
              <w:rPr>
                <w:rFonts w:eastAsia="仿宋_GB2312"/>
                <w:color w:val="000000"/>
                <w:kern w:val="0"/>
                <w:sz w:val="22"/>
                <w:szCs w:val="22"/>
                <w:lang w:bidi="ar"/>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2.牵头医院下转患者数量占比（%）</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牵头医院本年度向基层下转住院患者人次/牵头医院总出院患者人次×100%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textAlignment w:val="center"/>
              <w:rPr>
                <w:rFonts w:eastAsia="仿宋_GB2312"/>
                <w:color w:val="000000"/>
                <w:kern w:val="0"/>
                <w:sz w:val="22"/>
                <w:szCs w:val="22"/>
                <w:lang w:bidi="ar"/>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3.“两慢病”患者在基层医疗卫生机构门诊就诊率（%）</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本年度签约的高血压糖尿病患者在签约的基层医疗卫生机构（包括下辖一体化村卫生室、社区卫生服务站）门急诊就诊人次数/年内签约的高血压糖尿病患者在县域所有医疗卫生机构门急诊就诊人次数×100%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textAlignment w:val="center"/>
              <w:rPr>
                <w:rFonts w:eastAsia="仿宋_GB2312"/>
                <w:color w:val="000000"/>
                <w:kern w:val="0"/>
                <w:sz w:val="22"/>
                <w:szCs w:val="22"/>
                <w:lang w:bidi="ar"/>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4.基层医疗卫生机构人均收入与牵头医院人均收入的比值</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基层医疗卫生机构人均收入/牵头医院人均收入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restart"/>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二、县域医疗卫生服务能力提升</w:t>
            </w: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5.牵头医院是否达到国家服务能力推荐标准</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牵头医院是否达到国家县医院、县级中医医院医疗服务能力推荐标准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rPr>
                <w:rFonts w:eastAsia="仿宋_GB2312"/>
                <w:color w:val="000000"/>
                <w:sz w:val="24"/>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6.牵头医院出院患者三四级手术比例（%）</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三四级手术台次数/同期出院患者手术台次数×100%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rPr>
                <w:rFonts w:eastAsia="仿宋_GB2312"/>
                <w:color w:val="000000"/>
                <w:sz w:val="24"/>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7.牵头医院帮助基层开展新技术、新项目的数量</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171A1D"/>
                <w:sz w:val="22"/>
                <w:szCs w:val="22"/>
              </w:rPr>
              <w:t>牵头医院帮助成员单位开展新技术、新项目的名称、数量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rPr>
                <w:rFonts w:eastAsia="仿宋_GB2312"/>
                <w:color w:val="000000"/>
                <w:sz w:val="24"/>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8.“优质服务基层行”活动达到基本标准和推荐标准的机构比例</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达到“优质服务基层行”活动基本标准和推荐标准的机构比例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restart"/>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三、医疗卫生资源有效利用</w:t>
            </w: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9.牵头医院医疗服务收入占医疗收入的比例（%）</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（医疗收入－药品、耗材、检查和化验收入）/总医疗收入×100%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textAlignment w:val="center"/>
              <w:rPr>
                <w:rFonts w:eastAsia="仿宋_GB2312"/>
                <w:color w:val="000000"/>
                <w:kern w:val="0"/>
                <w:sz w:val="22"/>
                <w:szCs w:val="22"/>
                <w:lang w:bidi="ar"/>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10.基层医疗卫生机构医疗服务收入占医疗收入的比例（%）</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（医疗收入－药品、耗材、检查和化验收入）/总医疗收入×100%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textAlignment w:val="center"/>
              <w:rPr>
                <w:rFonts w:eastAsia="仿宋_GB2312"/>
                <w:color w:val="000000"/>
                <w:kern w:val="0"/>
                <w:sz w:val="22"/>
                <w:szCs w:val="22"/>
                <w:lang w:bidi="ar"/>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11.基层医疗卫生机构医师日均担负诊疗人次</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诊疗人次数/同期平均执业（助理）医师数/同期工作日数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textAlignment w:val="center"/>
              <w:rPr>
                <w:rFonts w:eastAsia="仿宋_GB2312"/>
                <w:color w:val="000000"/>
                <w:kern w:val="0"/>
                <w:sz w:val="22"/>
                <w:szCs w:val="22"/>
                <w:lang w:bidi="ar"/>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12.基层医疗卫生机构床位使用率（%）</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基层医疗卫生机构实际使用总床日数/实际开放总床日数（注：按编制床位测算）×100%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restart"/>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四、医保基金使用效能提升</w:t>
            </w: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13县域医共体内基层医疗卫生机构医保基金占比（%）</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县域医共体内基层医疗卫生机构医保基金支出/县域医共体医保基金总支出×100%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rPr>
                <w:rFonts w:eastAsia="仿宋_GB2312"/>
                <w:color w:val="000000"/>
                <w:sz w:val="24"/>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14.县域医共体门诊次均费用</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县域医共体门诊收入/县域医共体门诊人次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9" w:type="dxa"/>
            <w:vMerge w:val="continue"/>
            <w:noWrap w:val="0"/>
            <w:vAlign w:val="center"/>
          </w:tcPr>
          <w:p>
            <w:pPr>
              <w:widowControl/>
              <w:spacing w:line="420" w:lineRule="exact"/>
              <w:jc w:val="left"/>
              <w:rPr>
                <w:rFonts w:eastAsia="仿宋_GB2312"/>
                <w:color w:val="000000"/>
                <w:sz w:val="24"/>
              </w:rPr>
            </w:pPr>
          </w:p>
        </w:tc>
        <w:tc>
          <w:tcPr>
            <w:tcW w:w="3411"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15.医保考核结果</w:t>
            </w:r>
          </w:p>
        </w:tc>
        <w:tc>
          <w:tcPr>
            <w:tcW w:w="4684" w:type="dxa"/>
            <w:noWrap w:val="0"/>
            <w:vAlign w:val="center"/>
          </w:tcPr>
          <w:p>
            <w:pPr>
              <w:widowControl/>
              <w:spacing w:line="420" w:lineRule="exact"/>
              <w:jc w:val="left"/>
              <w:textAlignment w:val="center"/>
              <w:rPr>
                <w:rFonts w:eastAsia="仿宋_GB2312"/>
                <w:color w:val="000000"/>
                <w:kern w:val="0"/>
                <w:sz w:val="22"/>
                <w:szCs w:val="22"/>
                <w:lang w:bidi="ar"/>
              </w:rPr>
            </w:pPr>
            <w:r>
              <w:rPr>
                <w:rFonts w:eastAsia="仿宋_GB2312"/>
                <w:color w:val="000000"/>
                <w:kern w:val="0"/>
                <w:sz w:val="22"/>
                <w:szCs w:val="22"/>
                <w:lang w:bidi="ar"/>
              </w:rPr>
              <w:t>医保经办机构按照协议规定，对县域医共体或定点医疗卫生机构的考核结果</w:t>
            </w:r>
          </w:p>
        </w:tc>
      </w:tr>
    </w:tbl>
    <w:p>
      <w:pPr>
        <w:widowControl/>
        <w:jc w:val="left"/>
        <w:textAlignment w:val="center"/>
        <w:rPr>
          <w:color w:val="000000"/>
          <w:kern w:val="0"/>
          <w:sz w:val="22"/>
          <w:szCs w:val="22"/>
          <w:lang w:bidi="ar"/>
        </w:rPr>
      </w:pPr>
    </w:p>
    <w:p>
      <w:pPr>
        <w:spacing w:line="600" w:lineRule="exact"/>
        <w:rPr>
          <w:rFonts w:eastAsia="仿宋_GB2312"/>
          <w:spacing w:val="8"/>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D73C8"/>
    <w:rsid w:val="145D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customStyle="1" w:styleId="5">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2022-07-08T09:21:00Z</dcterms:created>
  <dc:creator>admin</dc:creator>
  <cp:lastModifiedBy>admin</cp:lastModifiedBy>
  <dcterms:modified xsi:type="dcterms:W3CDTF">2022-07-08T09:21:23Z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