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附件</w:t>
      </w:r>
    </w:p>
    <w:p>
      <w:pPr>
        <w:ind w:firstLine="3960" w:firstLineChars="900"/>
        <w:rPr>
          <w:rFonts w:hint="eastAsia" w:ascii="仿宋" w:hAnsi="仿宋" w:eastAsia="仿宋" w:cs="仿宋"/>
          <w:color w:val="000000"/>
          <w:sz w:val="44"/>
          <w:szCs w:val="44"/>
        </w:rPr>
      </w:pPr>
      <w:r>
        <w:rPr>
          <w:rFonts w:hint="eastAsia" w:ascii="仿宋" w:hAnsi="仿宋" w:eastAsia="仿宋" w:cs="仿宋"/>
          <w:color w:val="000000"/>
          <w:sz w:val="44"/>
          <w:szCs w:val="44"/>
        </w:rPr>
        <w:t>西藏自治区中药饮片生产品种备案目录</w:t>
      </w:r>
    </w:p>
    <w:tbl>
      <w:tblPr>
        <w:tblStyle w:val="8"/>
        <w:tblW w:w="157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585"/>
        <w:gridCol w:w="1005"/>
        <w:gridCol w:w="1275"/>
        <w:gridCol w:w="1078"/>
        <w:gridCol w:w="2745"/>
        <w:gridCol w:w="5355"/>
        <w:gridCol w:w="1320"/>
        <w:gridCol w:w="1380"/>
        <w:gridCol w:w="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589" w:type="dxa"/>
            <w:vAlign w:val="center"/>
          </w:tcPr>
          <w:p>
            <w:pPr>
              <w:jc w:val="center"/>
              <w:rPr>
                <w:rFonts w:hint="eastAsia" w:ascii="宋体" w:hAnsi="宋体" w:eastAsia="宋体" w:cstheme="minorBidi"/>
                <w:b/>
                <w:kern w:val="2"/>
                <w:sz w:val="18"/>
                <w:szCs w:val="18"/>
                <w:lang w:val="en-US" w:eastAsia="zh-CN" w:bidi="ar-SA"/>
              </w:rPr>
            </w:pPr>
            <w:r>
              <w:rPr>
                <w:rFonts w:hint="eastAsia" w:ascii="宋体" w:hAnsi="宋体" w:eastAsia="宋体" w:cstheme="minorBidi"/>
                <w:b/>
                <w:kern w:val="2"/>
                <w:sz w:val="18"/>
                <w:szCs w:val="18"/>
                <w:lang w:val="en-US" w:eastAsia="zh-CN" w:bidi="ar-SA"/>
              </w:rPr>
              <w:t>企业名称</w:t>
            </w:r>
          </w:p>
        </w:tc>
        <w:tc>
          <w:tcPr>
            <w:tcW w:w="585" w:type="dxa"/>
            <w:vAlign w:val="center"/>
          </w:tcPr>
          <w:p>
            <w:pPr>
              <w:jc w:val="center"/>
              <w:rPr>
                <w:rFonts w:ascii="宋体" w:hAnsi="宋体" w:eastAsia="宋体"/>
                <w:b/>
                <w:sz w:val="18"/>
                <w:szCs w:val="18"/>
              </w:rPr>
            </w:pPr>
            <w:r>
              <w:rPr>
                <w:rFonts w:hint="eastAsia" w:ascii="宋体" w:hAnsi="宋体" w:eastAsia="宋体"/>
                <w:b/>
                <w:sz w:val="18"/>
                <w:szCs w:val="18"/>
              </w:rPr>
              <w:t>序号</w:t>
            </w:r>
          </w:p>
        </w:tc>
        <w:tc>
          <w:tcPr>
            <w:tcW w:w="1005" w:type="dxa"/>
            <w:vAlign w:val="center"/>
          </w:tcPr>
          <w:p>
            <w:pPr>
              <w:jc w:val="center"/>
              <w:rPr>
                <w:rFonts w:ascii="宋体" w:hAnsi="宋体" w:eastAsia="宋体"/>
                <w:b/>
                <w:sz w:val="18"/>
                <w:szCs w:val="18"/>
              </w:rPr>
            </w:pPr>
            <w:r>
              <w:rPr>
                <w:rFonts w:hint="eastAsia" w:ascii="宋体" w:hAnsi="宋体" w:eastAsia="宋体"/>
                <w:b/>
                <w:sz w:val="18"/>
                <w:szCs w:val="18"/>
              </w:rPr>
              <w:t>饮片名称</w:t>
            </w:r>
          </w:p>
        </w:tc>
        <w:tc>
          <w:tcPr>
            <w:tcW w:w="1275" w:type="dxa"/>
            <w:vAlign w:val="center"/>
          </w:tcPr>
          <w:p>
            <w:pPr>
              <w:jc w:val="center"/>
              <w:rPr>
                <w:rFonts w:ascii="宋体" w:hAnsi="宋体" w:eastAsia="宋体"/>
                <w:b/>
                <w:sz w:val="18"/>
                <w:szCs w:val="18"/>
              </w:rPr>
            </w:pPr>
            <w:r>
              <w:rPr>
                <w:rFonts w:hint="eastAsia" w:ascii="宋体" w:hAnsi="宋体" w:eastAsia="宋体"/>
                <w:b/>
                <w:sz w:val="18"/>
                <w:szCs w:val="18"/>
              </w:rPr>
              <w:t>主要</w:t>
            </w:r>
          </w:p>
          <w:p>
            <w:pPr>
              <w:jc w:val="center"/>
              <w:rPr>
                <w:rFonts w:ascii="宋体" w:hAnsi="宋体" w:eastAsia="宋体"/>
                <w:b/>
                <w:sz w:val="18"/>
                <w:szCs w:val="18"/>
              </w:rPr>
            </w:pPr>
            <w:r>
              <w:rPr>
                <w:rFonts w:hint="eastAsia" w:ascii="宋体" w:hAnsi="宋体" w:eastAsia="宋体"/>
                <w:b/>
                <w:sz w:val="18"/>
                <w:szCs w:val="18"/>
              </w:rPr>
              <w:t>生产工序</w:t>
            </w:r>
          </w:p>
        </w:tc>
        <w:tc>
          <w:tcPr>
            <w:tcW w:w="1078" w:type="dxa"/>
            <w:vAlign w:val="center"/>
          </w:tcPr>
          <w:p>
            <w:pPr>
              <w:jc w:val="center"/>
              <w:rPr>
                <w:rFonts w:ascii="宋体" w:hAnsi="宋体" w:eastAsia="宋体"/>
                <w:b/>
                <w:sz w:val="18"/>
                <w:szCs w:val="18"/>
              </w:rPr>
            </w:pPr>
            <w:r>
              <w:rPr>
                <w:rFonts w:hint="eastAsia" w:ascii="宋体" w:hAnsi="宋体" w:eastAsia="宋体"/>
                <w:b/>
                <w:sz w:val="18"/>
                <w:szCs w:val="18"/>
              </w:rPr>
              <w:t>标准依据</w:t>
            </w:r>
          </w:p>
        </w:tc>
        <w:tc>
          <w:tcPr>
            <w:tcW w:w="2745" w:type="dxa"/>
            <w:vAlign w:val="center"/>
          </w:tcPr>
          <w:p>
            <w:pPr>
              <w:jc w:val="center"/>
              <w:rPr>
                <w:rFonts w:ascii="宋体" w:hAnsi="宋体" w:eastAsia="宋体"/>
                <w:b/>
                <w:sz w:val="18"/>
                <w:szCs w:val="18"/>
              </w:rPr>
            </w:pPr>
            <w:r>
              <w:rPr>
                <w:rFonts w:hint="eastAsia" w:ascii="宋体" w:hAnsi="宋体" w:eastAsia="宋体"/>
                <w:b/>
                <w:sz w:val="18"/>
                <w:szCs w:val="18"/>
              </w:rPr>
              <w:t>炮制方法</w:t>
            </w:r>
          </w:p>
        </w:tc>
        <w:tc>
          <w:tcPr>
            <w:tcW w:w="5355" w:type="dxa"/>
            <w:vAlign w:val="center"/>
          </w:tcPr>
          <w:p>
            <w:pPr>
              <w:jc w:val="center"/>
              <w:rPr>
                <w:rFonts w:ascii="宋体" w:hAnsi="宋体" w:eastAsia="宋体"/>
                <w:b/>
                <w:sz w:val="18"/>
                <w:szCs w:val="18"/>
              </w:rPr>
            </w:pPr>
            <w:r>
              <w:rPr>
                <w:rFonts w:hint="eastAsia" w:ascii="宋体" w:hAnsi="宋体" w:eastAsia="宋体"/>
                <w:b/>
                <w:sz w:val="18"/>
                <w:szCs w:val="18"/>
              </w:rPr>
              <w:t>主要检验项目/检验方法/检验设备</w:t>
            </w:r>
          </w:p>
        </w:tc>
        <w:tc>
          <w:tcPr>
            <w:tcW w:w="1320" w:type="dxa"/>
            <w:vAlign w:val="center"/>
          </w:tcPr>
          <w:p>
            <w:pPr>
              <w:jc w:val="center"/>
              <w:rPr>
                <w:rFonts w:ascii="宋体" w:hAnsi="宋体" w:eastAsia="宋体"/>
                <w:b/>
                <w:sz w:val="18"/>
                <w:szCs w:val="18"/>
              </w:rPr>
            </w:pPr>
            <w:r>
              <w:rPr>
                <w:rFonts w:hint="eastAsia" w:ascii="宋体" w:hAnsi="宋体" w:eastAsia="宋体"/>
                <w:b/>
                <w:sz w:val="18"/>
                <w:szCs w:val="18"/>
              </w:rPr>
              <w:t>对照品/对照药材</w:t>
            </w:r>
          </w:p>
        </w:tc>
        <w:tc>
          <w:tcPr>
            <w:tcW w:w="1380" w:type="dxa"/>
            <w:vAlign w:val="center"/>
          </w:tcPr>
          <w:p>
            <w:pPr>
              <w:jc w:val="center"/>
              <w:rPr>
                <w:rFonts w:ascii="宋体" w:hAnsi="宋体" w:eastAsia="宋体"/>
                <w:b/>
                <w:sz w:val="18"/>
                <w:szCs w:val="18"/>
              </w:rPr>
            </w:pPr>
            <w:r>
              <w:rPr>
                <w:rFonts w:hint="eastAsia" w:ascii="宋体" w:hAnsi="宋体" w:eastAsia="宋体"/>
                <w:b/>
                <w:sz w:val="18"/>
                <w:szCs w:val="18"/>
              </w:rPr>
              <w:t>检验情况</w:t>
            </w:r>
          </w:p>
        </w:tc>
        <w:tc>
          <w:tcPr>
            <w:tcW w:w="422" w:type="dxa"/>
            <w:vAlign w:val="center"/>
          </w:tcPr>
          <w:p>
            <w:pPr>
              <w:jc w:val="center"/>
              <w:rPr>
                <w:rFonts w:ascii="宋体" w:hAnsi="宋体" w:eastAsia="宋体"/>
                <w:b/>
                <w:sz w:val="18"/>
                <w:szCs w:val="18"/>
              </w:rPr>
            </w:pPr>
            <w:r>
              <w:rPr>
                <w:rFonts w:hint="eastAsia" w:ascii="宋体" w:hAnsi="宋体" w:eastAsia="宋体"/>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7" w:hRule="atLeast"/>
          <w:jc w:val="center"/>
        </w:trPr>
        <w:tc>
          <w:tcPr>
            <w:tcW w:w="589" w:type="dxa"/>
            <w:vMerge w:val="restart"/>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西藏</w:t>
            </w:r>
          </w:p>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求本</w:t>
            </w:r>
          </w:p>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生物</w:t>
            </w:r>
          </w:p>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科技</w:t>
            </w:r>
          </w:p>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发展</w:t>
            </w:r>
          </w:p>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有限</w:t>
            </w:r>
          </w:p>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公司</w:t>
            </w:r>
          </w:p>
        </w:tc>
        <w:tc>
          <w:tcPr>
            <w:tcW w:w="585"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w:t>
            </w:r>
          </w:p>
        </w:tc>
        <w:tc>
          <w:tcPr>
            <w:tcW w:w="1005"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百药煎</w:t>
            </w:r>
          </w:p>
        </w:tc>
        <w:tc>
          <w:tcPr>
            <w:tcW w:w="1275"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净选、煎煮、过滤、浓缩、搅匀、制块、发酵、切制、干燥、内包装、外包装</w:t>
            </w:r>
          </w:p>
        </w:tc>
        <w:tc>
          <w:tcPr>
            <w:tcW w:w="1078"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四川省药品监督管理局中药标准</w:t>
            </w:r>
          </w:p>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SCYPBZXD2021-001</w:t>
            </w:r>
          </w:p>
        </w:tc>
        <w:tc>
          <w:tcPr>
            <w:tcW w:w="2745"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取茶叶，分次加水煎煮，滤过，合并滤液，浓缩至适量，放凉，与酒糟混合；另取五倍子细粉，与上述混合物加水适量搅匀，制成软块，发酵。待药块表面遍布</w:t>
            </w:r>
          </w:p>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白色“霉衣”时，取出，切成小方块，低温干燥。每100kg五倍子，加茶叶（绿茶）6.2kg、酒糟25kg。</w:t>
            </w:r>
          </w:p>
        </w:tc>
        <w:tc>
          <w:tcPr>
            <w:tcW w:w="5355" w:type="dxa"/>
            <w:vAlign w:val="center"/>
          </w:tcPr>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1、性状；</w:t>
            </w:r>
          </w:p>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2、鉴别：显微鉴别、薄层鉴别</w:t>
            </w:r>
          </w:p>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3、检查：水分《中国药典》四部通则烘干法；总灰分《中国药典》四部通则；酸不溶性灰分《中国药典》四部通则；黄曲霉毒素《中</w:t>
            </w:r>
          </w:p>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国药典》四部通则；4、含量测定：没食子酸；</w:t>
            </w:r>
          </w:p>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检验设备：电热鼓风干燥箱、箱式电阻炉、电子天平、显微镜、</w:t>
            </w:r>
          </w:p>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高效液相色谱仪。</w:t>
            </w:r>
          </w:p>
        </w:tc>
        <w:tc>
          <w:tcPr>
            <w:tcW w:w="1320"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没食子酸</w:t>
            </w:r>
          </w:p>
        </w:tc>
        <w:tc>
          <w:tcPr>
            <w:tcW w:w="1380"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黄曲霉毒素送外检，其余项目自检</w:t>
            </w:r>
          </w:p>
        </w:tc>
        <w:tc>
          <w:tcPr>
            <w:tcW w:w="422"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589" w:type="dxa"/>
            <w:vMerge w:val="continue"/>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p>
        </w:tc>
        <w:tc>
          <w:tcPr>
            <w:tcW w:w="585"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w:t>
            </w:r>
          </w:p>
        </w:tc>
        <w:tc>
          <w:tcPr>
            <w:tcW w:w="1005"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美洲大蠊</w:t>
            </w:r>
          </w:p>
        </w:tc>
        <w:tc>
          <w:tcPr>
            <w:tcW w:w="1275"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净选、破碎、灭菌干燥、粉碎、分装/灌装、包装</w:t>
            </w:r>
          </w:p>
        </w:tc>
        <w:tc>
          <w:tcPr>
            <w:tcW w:w="1078"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四川省药品监督管理局中药标准SCYCBZXD2021-004</w:t>
            </w:r>
          </w:p>
        </w:tc>
        <w:tc>
          <w:tcPr>
            <w:tcW w:w="2745"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取美洲大蠊药材，除去杂质，干燥，原品或研粉入药。</w:t>
            </w:r>
          </w:p>
        </w:tc>
        <w:tc>
          <w:tcPr>
            <w:tcW w:w="5355" w:type="dxa"/>
            <w:vAlign w:val="center"/>
          </w:tcPr>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1、性状；2、鉴别：薄层鉴别，聚合酶链式反应</w:t>
            </w:r>
          </w:p>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3、检查：杂质《中国药典》四部通则；水分《中国药典》四部通则烘干法；总灰分《中国药典》四部通则；酸不溶性灰分《中国药典》四部通则；有机氯农药残留量《中国药典》四部通则；重金属及有害元素《中国药典》四部通则；黄曲霉毒素《中国药典》</w:t>
            </w:r>
          </w:p>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四部通则。4、浸出物：《中国药典》四部通则。</w:t>
            </w:r>
          </w:p>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5、含量测定：总氨基酸（紫外-可见分光光度法《中国药典》四部通则）；尿嘧啶、次黄嘌呤和黄嘌呤（高效液相色谱法《中国</w:t>
            </w:r>
          </w:p>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药典》四部通则）。6、微生物限度（非无菌药品微生物限度检查《中国药典》四部通则）。</w:t>
            </w:r>
          </w:p>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检验设备：电子天平、电热鼓风干燥箱、箱式电阻炉、水浴锅、紫外可见分光光度计、高效液相色谱仪、双人单面净化工作台。</w:t>
            </w:r>
          </w:p>
        </w:tc>
        <w:tc>
          <w:tcPr>
            <w:tcW w:w="1320" w:type="dxa"/>
            <w:vAlign w:val="center"/>
          </w:tcPr>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蜚蠊对照药材丙氨酸对照品尿嘧啶对照品次黄嘌呤对照品黄嘌呤对照品</w:t>
            </w:r>
          </w:p>
        </w:tc>
        <w:tc>
          <w:tcPr>
            <w:tcW w:w="1380"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聚合酶链式反应、有机氯农药残留量、重金属及有害元素、黄曲霉毒素送外检，其余项目自检</w:t>
            </w:r>
          </w:p>
        </w:tc>
        <w:tc>
          <w:tcPr>
            <w:tcW w:w="422"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3" w:hRule="atLeast"/>
          <w:jc w:val="center"/>
        </w:trPr>
        <w:tc>
          <w:tcPr>
            <w:tcW w:w="589" w:type="dxa"/>
            <w:vMerge w:val="continue"/>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p>
        </w:tc>
        <w:tc>
          <w:tcPr>
            <w:tcW w:w="585" w:type="dxa"/>
            <w:vAlign w:val="center"/>
          </w:tcPr>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3</w:t>
            </w:r>
          </w:p>
        </w:tc>
        <w:tc>
          <w:tcPr>
            <w:tcW w:w="1005"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俄色叶</w:t>
            </w:r>
          </w:p>
        </w:tc>
        <w:tc>
          <w:tcPr>
            <w:tcW w:w="1275"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净选、破碎、分装、包装</w:t>
            </w:r>
          </w:p>
        </w:tc>
        <w:tc>
          <w:tcPr>
            <w:tcW w:w="1078"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四川省药品监督管理局中药标准SCYPBZ2021-001</w:t>
            </w:r>
          </w:p>
        </w:tc>
        <w:tc>
          <w:tcPr>
            <w:tcW w:w="2745"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取俄色叶，除去杂质及枝梗，筛去灰屑，即得；切碎。</w:t>
            </w:r>
          </w:p>
        </w:tc>
        <w:tc>
          <w:tcPr>
            <w:tcW w:w="5355" w:type="dxa"/>
            <w:vAlign w:val="center"/>
          </w:tcPr>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1、性状；</w:t>
            </w:r>
          </w:p>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2、鉴别：薄层鉴别，显微鉴别。</w:t>
            </w:r>
          </w:p>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3、检查：水分《中国药典》四部通则烘干法；总灰分《中国药典》</w:t>
            </w:r>
          </w:p>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四部通则；酸不溶性灰分《中国药典》四部通则。</w:t>
            </w:r>
          </w:p>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4、浸出物：《中国药典》四部通则。5、含量测定：总黄酮（紫外-可见分光光度法《中国药典》四部通则）；根皮素（高效液相色谱法《中国药典》四部通则）。6、微生物限度（非无菌药品微生物限度检查《中国药典》四部通则）</w:t>
            </w:r>
          </w:p>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检验设备：电子天平、电热鼓风干燥箱、箱式电阻炉、水浴锅、显微镜、紫外可见分光光度计、高效液相色谱仪、双人单面净化</w:t>
            </w:r>
          </w:p>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工作台。</w:t>
            </w:r>
          </w:p>
        </w:tc>
        <w:tc>
          <w:tcPr>
            <w:tcW w:w="1320" w:type="dxa"/>
            <w:vAlign w:val="center"/>
          </w:tcPr>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根皮苷对照品根皮素对照品</w:t>
            </w:r>
          </w:p>
        </w:tc>
        <w:tc>
          <w:tcPr>
            <w:tcW w:w="1380"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全部自检</w:t>
            </w:r>
          </w:p>
        </w:tc>
        <w:tc>
          <w:tcPr>
            <w:tcW w:w="422"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7" w:hRule="atLeast"/>
          <w:jc w:val="center"/>
        </w:trPr>
        <w:tc>
          <w:tcPr>
            <w:tcW w:w="589" w:type="dxa"/>
            <w:vMerge w:val="continue"/>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p>
        </w:tc>
        <w:tc>
          <w:tcPr>
            <w:tcW w:w="585"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4</w:t>
            </w:r>
          </w:p>
        </w:tc>
        <w:tc>
          <w:tcPr>
            <w:tcW w:w="1005"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开郁曲</w:t>
            </w:r>
          </w:p>
        </w:tc>
        <w:tc>
          <w:tcPr>
            <w:tcW w:w="1275"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净选、煎煮、过滤、浓缩、拌匀、发酵、干燥、破碎、内包装、外包装</w:t>
            </w:r>
          </w:p>
        </w:tc>
        <w:tc>
          <w:tcPr>
            <w:tcW w:w="1078"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四川省药品监督管理局中药标准SCYPBZ2021-003</w:t>
            </w:r>
          </w:p>
        </w:tc>
        <w:tc>
          <w:tcPr>
            <w:tcW w:w="2745"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取香附、苍术、川芎，分次加水煎煮，滤过，合并滤液，浓缩至适量。另取清半夏，粉碎成粗粉，加入上述浓缩液及麦麸，混合均匀，置适宜条件下发酵，待其表面遍布白黄色“霉衣”时，取出，</w:t>
            </w:r>
          </w:p>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干燥。每100㎏清半夏，用香附100㎏、苍术100㎏、川芎100㎏、麦麸10㎏。</w:t>
            </w:r>
          </w:p>
        </w:tc>
        <w:tc>
          <w:tcPr>
            <w:tcW w:w="5355" w:type="dxa"/>
            <w:vAlign w:val="center"/>
          </w:tcPr>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1、性状；2、鉴别：薄层鉴别，显微鉴别。</w:t>
            </w:r>
          </w:p>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3、检查：水分《中国药典》四部通则烘干法；总灰分《中国药典》四部通则；酸不溶性灰分《中国药典》四部通则；黄曲霉毒素《中</w:t>
            </w:r>
          </w:p>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国药典》四部通则。4、浸出物：《中国药典》四部通则。5、含量测定：阿魏酸（高效液相色谱法《中国药典》四部通则）。</w:t>
            </w:r>
          </w:p>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检验设备：电子天平、电热鼓风干燥箱、箱式电阻炉、水浴锅、</w:t>
            </w:r>
          </w:p>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显微镜、高效液相色谱仪。</w:t>
            </w:r>
          </w:p>
        </w:tc>
        <w:tc>
          <w:tcPr>
            <w:tcW w:w="1320"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半夏对照</w:t>
            </w:r>
          </w:p>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药材川穹对照</w:t>
            </w:r>
          </w:p>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药材苍术对照</w:t>
            </w:r>
          </w:p>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药材阿魏酸对照品</w:t>
            </w:r>
          </w:p>
        </w:tc>
        <w:tc>
          <w:tcPr>
            <w:tcW w:w="1380"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黄曲霉毒素送外检，其余项目自检</w:t>
            </w:r>
          </w:p>
        </w:tc>
        <w:tc>
          <w:tcPr>
            <w:tcW w:w="422"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8" w:hRule="atLeast"/>
          <w:jc w:val="center"/>
        </w:trPr>
        <w:tc>
          <w:tcPr>
            <w:tcW w:w="589" w:type="dxa"/>
            <w:vMerge w:val="continue"/>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p>
        </w:tc>
        <w:tc>
          <w:tcPr>
            <w:tcW w:w="585"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5</w:t>
            </w:r>
          </w:p>
        </w:tc>
        <w:tc>
          <w:tcPr>
            <w:tcW w:w="1005"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三七</w:t>
            </w:r>
          </w:p>
        </w:tc>
        <w:tc>
          <w:tcPr>
            <w:tcW w:w="1275"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净选、洗净、切制、干燥、内包装、外包装</w:t>
            </w:r>
          </w:p>
        </w:tc>
        <w:tc>
          <w:tcPr>
            <w:tcW w:w="1078"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四川省药品监督管理局中药</w:t>
            </w:r>
          </w:p>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标准SCYPBZ2021-004</w:t>
            </w:r>
          </w:p>
        </w:tc>
        <w:tc>
          <w:tcPr>
            <w:tcW w:w="2745"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三七片   取鲜三七主根，净选，洗净，切制成厚片，冷冻干燥。</w:t>
            </w:r>
          </w:p>
        </w:tc>
        <w:tc>
          <w:tcPr>
            <w:tcW w:w="5355" w:type="dxa"/>
            <w:vAlign w:val="center"/>
          </w:tcPr>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1、性状；</w:t>
            </w:r>
          </w:p>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2、鉴别：薄层鉴别，显微鉴别。</w:t>
            </w:r>
          </w:p>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3、检查：水分《中国药典》四部通则烘干法；总灰分《中国药典》</w:t>
            </w:r>
          </w:p>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四部通则；酸不溶性灰分《中国药典》四部通则。</w:t>
            </w:r>
          </w:p>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4、浸出物：《中国药典》四部通则。</w:t>
            </w:r>
          </w:p>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5、含量测定：人参皂苷Rg1、人参皂苷Rb1、三七皂苷R1（高效</w:t>
            </w:r>
          </w:p>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液相色谱法《中国药典》四部通则）。</w:t>
            </w:r>
          </w:p>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检验设备：电子天平、电热鼓风干燥箱、箱式电阻炉、水浴锅、</w:t>
            </w:r>
          </w:p>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显微镜、高效液相色谱仪。</w:t>
            </w:r>
          </w:p>
        </w:tc>
        <w:tc>
          <w:tcPr>
            <w:tcW w:w="1320"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人参皂苷Rg1</w:t>
            </w:r>
          </w:p>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对照品人参皂苷Rb1对照品三七皂苷R1对照品</w:t>
            </w:r>
          </w:p>
        </w:tc>
        <w:tc>
          <w:tcPr>
            <w:tcW w:w="1380"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全部自检</w:t>
            </w:r>
          </w:p>
        </w:tc>
        <w:tc>
          <w:tcPr>
            <w:tcW w:w="422"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9" w:type="dxa"/>
            <w:vMerge w:val="continue"/>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p>
        </w:tc>
        <w:tc>
          <w:tcPr>
            <w:tcW w:w="585"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6</w:t>
            </w:r>
          </w:p>
        </w:tc>
        <w:tc>
          <w:tcPr>
            <w:tcW w:w="1005"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砂仁制地黄</w:t>
            </w:r>
          </w:p>
        </w:tc>
        <w:tc>
          <w:tcPr>
            <w:tcW w:w="1275"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净选、洗净、润透（黄酒）、蒸制、切制、拌匀、干燥、内包装、外包装</w:t>
            </w:r>
          </w:p>
        </w:tc>
        <w:tc>
          <w:tcPr>
            <w:tcW w:w="1078"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四川省药品监督管理局中药标准</w:t>
            </w:r>
          </w:p>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SCYPBZ2021-005</w:t>
            </w:r>
          </w:p>
        </w:tc>
        <w:tc>
          <w:tcPr>
            <w:tcW w:w="2745"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取生地黄，洗净，用黄酒拌匀，润透，置适宜的蒸制容器内，密闭，蒸至内外漆黑，中央发黑为度，取出，低温干燥至约八成干时，切厚片或块，干燥，置适宜容器内，用适量黄酒润湿表面，</w:t>
            </w:r>
          </w:p>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加入砂仁中粉拌匀，即得。每100kg生地黄，用黄酒30～50kg，砂仁粉3kg。</w:t>
            </w:r>
          </w:p>
        </w:tc>
        <w:tc>
          <w:tcPr>
            <w:tcW w:w="5355" w:type="dxa"/>
            <w:vAlign w:val="center"/>
          </w:tcPr>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性状；2、鉴别：薄层鉴别。3、检查：水分《中国药典》四部通则烘干法；酸不溶性灰分《中国药典》四部通则。4、浸出物：《中国药典》四部通则。5、含量测定：毛蕊花糖苷（高效液相色谱法《中国药典》四部通则）；葡萄糖、果糖（高效液相色谱法《中国药典》四部通则）。</w:t>
            </w:r>
          </w:p>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检验设备：电子天平、电热鼓风干燥箱、箱式电阻炉、水浴锅、</w:t>
            </w:r>
          </w:p>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高效液相色谱仪。</w:t>
            </w:r>
          </w:p>
        </w:tc>
        <w:tc>
          <w:tcPr>
            <w:tcW w:w="1320"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毛蕊花糖苷对照品乙酸龙脑酯对照品D-无水葡萄糖对照品D-果糖对照品</w:t>
            </w:r>
          </w:p>
        </w:tc>
        <w:tc>
          <w:tcPr>
            <w:tcW w:w="1380"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全部自检</w:t>
            </w:r>
          </w:p>
        </w:tc>
        <w:tc>
          <w:tcPr>
            <w:tcW w:w="422"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7" w:hRule="atLeast"/>
          <w:jc w:val="center"/>
        </w:trPr>
        <w:tc>
          <w:tcPr>
            <w:tcW w:w="589" w:type="dxa"/>
            <w:vMerge w:val="continue"/>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p>
        </w:tc>
        <w:tc>
          <w:tcPr>
            <w:tcW w:w="585"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7</w:t>
            </w:r>
          </w:p>
        </w:tc>
        <w:tc>
          <w:tcPr>
            <w:tcW w:w="1005"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水蛭</w:t>
            </w:r>
          </w:p>
        </w:tc>
        <w:tc>
          <w:tcPr>
            <w:tcW w:w="1275"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净选、炒制（米炒）、破碎、灭菌干燥、粉碎、分装/灌装、包装</w:t>
            </w:r>
          </w:p>
        </w:tc>
        <w:tc>
          <w:tcPr>
            <w:tcW w:w="1078"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四川省药品监督管理局中药标准SCYPBZ2021-006</w:t>
            </w:r>
          </w:p>
        </w:tc>
        <w:tc>
          <w:tcPr>
            <w:tcW w:w="2745"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米炒水蛭   取水蛭，用米浆浸泡，洗净，切段，干燥，用大米拌炒至大米呈黄色，取出，筛去大米，即得；或取米炒水蛭研粉入药。米浆为大米粉碎</w:t>
            </w:r>
            <w:bookmarkStart w:id="0" w:name="_GoBack"/>
            <w:bookmarkEnd w:id="0"/>
            <w:r>
              <w:rPr>
                <w:rFonts w:hint="eastAsia" w:ascii="仿宋" w:hAnsi="仿宋" w:eastAsia="仿宋" w:cs="仿宋"/>
                <w:color w:val="000000"/>
                <w:kern w:val="0"/>
                <w:sz w:val="18"/>
                <w:szCs w:val="18"/>
                <w:lang w:val="en-US" w:eastAsia="zh-CN" w:bidi="ar"/>
              </w:rPr>
              <w:t>成细粉加水煮制而成，每2kg大米粉，加入100kg水煮沸晾凉即得。浸泡50kg水蛭，用100kg米浆。拌炒100kg水蛭，用大米50kg。大米为糯米与粳米各一半。</w:t>
            </w:r>
          </w:p>
        </w:tc>
        <w:tc>
          <w:tcPr>
            <w:tcW w:w="5355" w:type="dxa"/>
            <w:vAlign w:val="center"/>
          </w:tcPr>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性状；2、鉴别：薄层鉴别。3、检查：水分《中国药典》四部通则烘干法；总灰分《中国药典》四部通则；酸不溶性灰分《中国药典》四部通则；酸碱度（Ph值测定法《中国药典》四部通则）；重金属及有害元素《中国药典》四部通则；黄曲霉毒素《中国药典》四部通则。4、浸出物：《中国药典》四部通则。5、微生物限度（非无菌药品微生物限度检查《中国药典》四部通则）。</w:t>
            </w:r>
          </w:p>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检验设备：电子天平、电热鼓风干燥箱、箱式电阻炉、水浴锅、</w:t>
            </w:r>
          </w:p>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Ph计、双人单面净化工作台、高效液相色谱仪。</w:t>
            </w:r>
          </w:p>
        </w:tc>
        <w:tc>
          <w:tcPr>
            <w:tcW w:w="1320"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水蛭对照药材</w:t>
            </w:r>
          </w:p>
        </w:tc>
        <w:tc>
          <w:tcPr>
            <w:tcW w:w="1380"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重金属及有害元素、黄曲霉毒素送外检，其余项目自检</w:t>
            </w:r>
          </w:p>
        </w:tc>
        <w:tc>
          <w:tcPr>
            <w:tcW w:w="422"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6" w:hRule="atLeast"/>
          <w:jc w:val="center"/>
        </w:trPr>
        <w:tc>
          <w:tcPr>
            <w:tcW w:w="589" w:type="dxa"/>
            <w:vMerge w:val="continue"/>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p>
        </w:tc>
        <w:tc>
          <w:tcPr>
            <w:tcW w:w="585"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8</w:t>
            </w:r>
          </w:p>
        </w:tc>
        <w:tc>
          <w:tcPr>
            <w:tcW w:w="1005"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熊胆汁</w:t>
            </w:r>
          </w:p>
        </w:tc>
        <w:tc>
          <w:tcPr>
            <w:tcW w:w="1275"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熊胆粉：熊胆汁干燥、破碎、灭菌干燥、粉碎、内包装、外包装</w:t>
            </w:r>
          </w:p>
        </w:tc>
        <w:tc>
          <w:tcPr>
            <w:tcW w:w="1078"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四川省药品监督管理局中药标准SCYCBZ2021-001</w:t>
            </w:r>
          </w:p>
        </w:tc>
        <w:tc>
          <w:tcPr>
            <w:tcW w:w="2745"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熊胆粉   取熊胆汁，冷冻干燥，灭菌，即得。</w:t>
            </w:r>
          </w:p>
        </w:tc>
        <w:tc>
          <w:tcPr>
            <w:tcW w:w="5355" w:type="dxa"/>
            <w:vAlign w:val="center"/>
          </w:tcPr>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1、性状；</w:t>
            </w:r>
          </w:p>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鉴别：薄层鉴别。3、检查：猪胆（同薄层鉴别）；牛、羊胆（同薄层鉴别）；相对密度（《中国药典》四部通则）；Ph值(《中国药典》四部通则);糖；异性有机物；水分《中国药典》四部通则第三法；4、含量测定：牛黄熊去氧胆酸（高效液相色谱法《中国药典》四部通则）。5、微生物限度（非无菌药品微生物限度检查《中国药典》四部通则）。</w:t>
            </w:r>
          </w:p>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检验设备：电子天平、双人单面净化工作台、高效液相色谱仪。</w:t>
            </w:r>
          </w:p>
        </w:tc>
        <w:tc>
          <w:tcPr>
            <w:tcW w:w="1320" w:type="dxa"/>
            <w:vAlign w:val="center"/>
          </w:tcPr>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猪去氧胆</w:t>
            </w:r>
          </w:p>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酸对照品熊去氧胆酸对照品鹅去氧胆酸对照品胆酸对照品牛胆粉对照药材羊胆粉对照材牛黄熊去氧胆酸钠对照品</w:t>
            </w:r>
          </w:p>
        </w:tc>
        <w:tc>
          <w:tcPr>
            <w:tcW w:w="1380"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全部自检</w:t>
            </w:r>
          </w:p>
        </w:tc>
        <w:tc>
          <w:tcPr>
            <w:tcW w:w="422" w:type="dxa"/>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p>
        </w:tc>
      </w:tr>
    </w:tbl>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p>
    <w:p/>
    <w:sectPr>
      <w:pgSz w:w="16838" w:h="11906" w:orient="landscape"/>
      <w:pgMar w:top="720" w:right="720" w:bottom="720" w:left="720"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lvlText w:val="%1."/>
      <w:lvlJc w:val="left"/>
      <w:pPr>
        <w:ind w:left="227" w:hanging="227"/>
      </w:pPr>
      <w:rPr>
        <w:rFonts w:hint="eastAsia"/>
      </w:rPr>
    </w:lvl>
    <w:lvl w:ilvl="1" w:tentative="0">
      <w:start w:val="1"/>
      <w:numFmt w:val="decimal"/>
      <w:lvlText w:val="%1.%2"/>
      <w:lvlJc w:val="left"/>
      <w:pPr>
        <w:tabs>
          <w:tab w:val="left" w:pos="0"/>
        </w:tabs>
        <w:ind w:left="0" w:firstLine="0"/>
      </w:pPr>
      <w:rPr>
        <w:rFonts w:hint="eastAsia"/>
      </w:rPr>
    </w:lvl>
    <w:lvl w:ilvl="2" w:tentative="0">
      <w:start w:val="1"/>
      <w:numFmt w:val="decimal"/>
      <w:pStyle w:val="2"/>
      <w:lvlText w:val="%1.%2.%3"/>
      <w:lvlJc w:val="left"/>
      <w:pPr>
        <w:tabs>
          <w:tab w:val="left" w:pos="0"/>
        </w:tabs>
        <w:ind w:left="0" w:firstLine="0"/>
      </w:pPr>
      <w:rPr>
        <w:rFonts w:cs="Times New Roman"/>
        <w:b/>
        <w:bCs/>
        <w:i w:val="0"/>
        <w:iCs w:val="0"/>
        <w:caps w:val="0"/>
        <w:smallCaps w:val="0"/>
        <w:strike w:val="0"/>
        <w:dstrike w:val="0"/>
        <w:snapToGrid w:val="0"/>
        <w:vanish w:val="0"/>
        <w:spacing w:val="0"/>
        <w:kern w:val="0"/>
        <w:position w:val="0"/>
        <w:u w:val="none"/>
        <w:vertAlign w:val="baseline"/>
      </w:rPr>
    </w:lvl>
    <w:lvl w:ilvl="3" w:tentative="0">
      <w:start w:val="1"/>
      <w:numFmt w:val="decimal"/>
      <w:suff w:val="space"/>
      <w:lvlText w:val="%1.%2.%3.%4"/>
      <w:lvlJc w:val="left"/>
      <w:pPr>
        <w:ind w:left="0" w:firstLine="0"/>
      </w:pPr>
      <w:rPr>
        <w:rFonts w:cs="Times New Roman"/>
        <w:b/>
        <w:bCs/>
        <w:i w:val="0"/>
        <w:iCs w:val="0"/>
        <w:caps w:val="0"/>
        <w:smallCaps w:val="0"/>
        <w:strike w:val="0"/>
        <w:dstrike w:val="0"/>
        <w:snapToGrid w:val="0"/>
        <w:vanish w:val="0"/>
        <w:spacing w:val="0"/>
        <w:kern w:val="0"/>
        <w:position w:val="0"/>
        <w:u w:val="none"/>
        <w:vertAlign w:val="baseline"/>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EA0A90"/>
    <w:rsid w:val="59EA0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4"/>
    <w:qFormat/>
    <w:uiPriority w:val="0"/>
    <w:pPr>
      <w:keepNext/>
      <w:spacing w:before="120" w:beforeLines="0" w:after="120" w:afterLines="0"/>
      <w:outlineLvl w:val="0"/>
    </w:pPr>
    <w:rPr>
      <w:rFonts w:eastAsia="黑体"/>
      <w:b/>
      <w:bCs/>
      <w:sz w:val="32"/>
      <w:szCs w:val="32"/>
    </w:rPr>
  </w:style>
  <w:style w:type="paragraph" w:styleId="2">
    <w:name w:val="heading 3"/>
    <w:basedOn w:val="3"/>
    <w:next w:val="1"/>
    <w:unhideWhenUsed/>
    <w:qFormat/>
    <w:uiPriority w:val="0"/>
    <w:pPr>
      <w:numPr>
        <w:ilvl w:val="2"/>
        <w:numId w:val="1"/>
      </w:numPr>
      <w:ind w:firstLineChars="0"/>
      <w:outlineLvl w:val="2"/>
    </w:pPr>
    <w:rPr>
      <w:bCs w:val="0"/>
      <w:iCs/>
      <w:sz w:val="28"/>
      <w:szCs w:val="21"/>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Body Text"/>
    <w:basedOn w:val="1"/>
    <w:uiPriority w:val="0"/>
    <w:pPr>
      <w:keepLines/>
      <w:spacing w:before="40" w:beforeLines="0" w:after="40" w:afterLines="0"/>
      <w:ind w:left="720"/>
    </w:pPr>
  </w:style>
  <w:style w:type="paragraph" w:styleId="5">
    <w:name w:val="footer"/>
    <w:basedOn w:val="1"/>
    <w:uiPriority w:val="0"/>
    <w:pPr>
      <w:tabs>
        <w:tab w:val="center" w:pos="4153"/>
        <w:tab w:val="right" w:pos="8306"/>
      </w:tabs>
      <w:snapToGrid w:val="0"/>
      <w:jc w:val="left"/>
    </w:pPr>
    <w:rPr>
      <w:sz w:val="18"/>
      <w:szCs w:val="18"/>
    </w:r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2022-06-21T11:10:00Z</dcterms:created>
  <dc:creator>Administrator</dc:creator>
  <cp:lastModifiedBy>Administrator</cp:lastModifiedBy>
  <dcterms:modified xsi:type="dcterms:W3CDTF">2022-06-21T11:11:01Z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