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rPr>
      </w:pPr>
    </w:p>
    <w:p>
      <w:pPr>
        <w:widowControl w:val="0"/>
        <w:wordWrap/>
        <w:spacing w:line="520" w:lineRule="exact"/>
        <w:jc w:val="center"/>
        <w:textAlignment w:val="auto"/>
        <w:rPr>
          <w:rFonts w:ascii="方正小标宋_GBK" w:hAnsi="方正公文小标宋" w:eastAsia="方正小标宋_GBK" w:cs="Times New Roman"/>
          <w:color w:val="000000"/>
          <w:sz w:val="44"/>
          <w:szCs w:val="44"/>
        </w:rPr>
      </w:pPr>
      <w:r>
        <w:rPr>
          <w:rFonts w:hint="eastAsia" w:ascii="方正小标宋简体" w:hAnsi="微软雅黑" w:eastAsia="方正小标宋简体" w:cs="宋体"/>
          <w:color w:val="000000"/>
          <w:kern w:val="0"/>
          <w:sz w:val="44"/>
          <w:szCs w:val="44"/>
        </w:rPr>
        <w:t>吉林省健康企业建设活动实施方案</w:t>
      </w:r>
    </w:p>
    <w:p>
      <w:pPr>
        <w:widowControl w:val="0"/>
        <w:wordWrap/>
        <w:spacing w:line="520" w:lineRule="exact"/>
        <w:ind w:firstLine="640" w:firstLineChars="200"/>
        <w:textAlignment w:val="auto"/>
        <w:rPr>
          <w:rFonts w:ascii="仿宋_GB2312" w:eastAsia="仿宋_GB2312"/>
          <w:color w:val="000000"/>
          <w:sz w:val="32"/>
          <w:szCs w:val="32"/>
        </w:rPr>
      </w:pPr>
    </w:p>
    <w:p>
      <w:pPr>
        <w:widowControl w:val="0"/>
        <w:wordWrap/>
        <w:spacing w:line="52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健康企业建设是健康城市健康村镇建设的重要内容和具体行动，是健康吉林建设的重要基础，</w:t>
      </w:r>
      <w:r>
        <w:rPr>
          <w:rFonts w:hint="eastAsia" w:ascii="宋体" w:hAnsi="宋体" w:eastAsia="仿宋_GB2312" w:cs="仿宋_GB2312"/>
          <w:color w:val="000000"/>
          <w:kern w:val="0"/>
          <w:sz w:val="32"/>
          <w:szCs w:val="32"/>
          <w:shd w:val="clear" w:color="auto" w:fill="FFFFFF"/>
        </w:rPr>
        <w:t>是健康“细胞”的重要</w:t>
      </w:r>
      <w:r>
        <w:rPr>
          <w:rFonts w:hint="eastAsia" w:ascii="仿宋_GB2312" w:eastAsia="仿宋_GB2312"/>
          <w:color w:val="000000"/>
          <w:sz w:val="32"/>
          <w:szCs w:val="32"/>
        </w:rPr>
        <w:t>组成部分。为深入推进健康吉林职业健康保护行动，组织开展好全省健康企业建设活动，依据《中华人民共和国职业病防治法》《“健康吉林2030”规划纲要》《吉林省人民政府关于印发吉林省贯彻落实健康中国行动实施方案的通知》《关于推进健康企业建设的通知》（全爱卫办发〔2019〕3号）等规定要求，结合我省实际，制定本方案。</w:t>
      </w:r>
    </w:p>
    <w:p>
      <w:pPr>
        <w:widowControl w:val="0"/>
        <w:wordWrap/>
        <w:spacing w:line="520" w:lineRule="exact"/>
        <w:ind w:firstLine="600" w:firstLineChars="200"/>
        <w:textAlignment w:val="auto"/>
        <w:rPr>
          <w:rFonts w:ascii="黑体" w:hAnsi="黑体" w:eastAsia="黑体" w:cs="方正黑体_GBK"/>
          <w:color w:val="000000"/>
          <w:sz w:val="30"/>
          <w:szCs w:val="30"/>
          <w:lang w:val="zh-CN"/>
        </w:rPr>
      </w:pPr>
      <w:r>
        <w:rPr>
          <w:rFonts w:hint="eastAsia" w:ascii="黑体" w:hAnsi="黑体" w:eastAsia="黑体" w:cs="方正黑体_GBK"/>
          <w:color w:val="000000"/>
          <w:sz w:val="30"/>
          <w:szCs w:val="30"/>
          <w:lang w:val="zh-CN"/>
        </w:rPr>
        <w:t>一、指导思想</w:t>
      </w:r>
    </w:p>
    <w:p>
      <w:pPr>
        <w:widowControl w:val="0"/>
        <w:wordWrap/>
        <w:spacing w:line="52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以习近平新时代中国特色社会主义思想为指导，深入贯彻落实党中央、国务院“健康中国”战略和省委、省政府关于“健康吉林”建设的决策部署，以健康企业建设为载体，统筹推进全省职业健康重点工作，将大健康理念融入企业管理运行全过程，全面落实企业职业健康主体责任，提升企业健康管理水平，创建健康安全的工作生活环境，引导劳动者践行健康工作生活方式，不断提高健康素养，降低职业病、工作相关疾病以及工伤事故等风险，切实保障劳动者生命健康安全，促进企业健康、可持续、高质量发展。</w:t>
      </w:r>
    </w:p>
    <w:p>
      <w:pPr>
        <w:widowControl w:val="0"/>
        <w:wordWrap/>
        <w:spacing w:line="520" w:lineRule="exact"/>
        <w:ind w:firstLine="600" w:firstLineChars="200"/>
        <w:textAlignment w:val="auto"/>
        <w:rPr>
          <w:rFonts w:ascii="黑体" w:hAnsi="黑体" w:eastAsia="黑体" w:cs="方正黑体_GBK"/>
          <w:color w:val="000000"/>
          <w:sz w:val="30"/>
          <w:szCs w:val="30"/>
          <w:lang w:val="zh-CN"/>
        </w:rPr>
      </w:pPr>
      <w:r>
        <w:rPr>
          <w:rFonts w:hint="eastAsia" w:ascii="黑体" w:hAnsi="黑体" w:eastAsia="黑体" w:cs="方正黑体_GBK"/>
          <w:color w:val="000000"/>
          <w:sz w:val="30"/>
          <w:szCs w:val="30"/>
          <w:lang w:val="zh-CN"/>
        </w:rPr>
        <w:t>二、基本原则</w:t>
      </w:r>
    </w:p>
    <w:p>
      <w:pPr>
        <w:widowControl w:val="0"/>
        <w:wordWrap/>
        <w:spacing w:line="520" w:lineRule="exact"/>
        <w:ind w:firstLine="640" w:firstLineChars="200"/>
        <w:textAlignment w:val="auto"/>
        <w:rPr>
          <w:rFonts w:ascii="仿宋_GB2312" w:eastAsia="仿宋_GB2312"/>
          <w:color w:val="000000"/>
          <w:sz w:val="32"/>
          <w:szCs w:val="32"/>
        </w:rPr>
      </w:pPr>
      <w:r>
        <w:rPr>
          <w:rFonts w:hint="eastAsia" w:ascii="楷体_GB2312" w:eastAsia="楷体_GB2312"/>
          <w:color w:val="000000"/>
          <w:sz w:val="32"/>
          <w:szCs w:val="32"/>
        </w:rPr>
        <w:t>坚持健康优先。</w:t>
      </w:r>
      <w:r>
        <w:rPr>
          <w:rFonts w:hint="eastAsia" w:ascii="仿宋_GB2312" w:eastAsia="仿宋_GB2312"/>
          <w:color w:val="000000"/>
          <w:sz w:val="32"/>
          <w:szCs w:val="32"/>
        </w:rPr>
        <w:t>将保障和促进劳动者健康作为工作的出发点和落脚点，全面履行社会责任，将健康管理融入各项工作政策制度，切实保障劳动者的健康和福祉。</w:t>
      </w:r>
    </w:p>
    <w:p>
      <w:pPr>
        <w:widowControl w:val="0"/>
        <w:wordWrap/>
        <w:spacing w:line="520" w:lineRule="exact"/>
        <w:ind w:firstLine="640" w:firstLineChars="200"/>
        <w:textAlignment w:val="auto"/>
        <w:rPr>
          <w:rFonts w:ascii="仿宋_GB2312" w:eastAsia="仿宋_GB2312"/>
          <w:color w:val="000000"/>
          <w:sz w:val="32"/>
          <w:szCs w:val="32"/>
        </w:rPr>
      </w:pPr>
      <w:r>
        <w:rPr>
          <w:rFonts w:hint="eastAsia" w:ascii="楷体_GB2312" w:eastAsia="楷体_GB2312"/>
          <w:color w:val="000000"/>
          <w:sz w:val="32"/>
          <w:szCs w:val="32"/>
        </w:rPr>
        <w:t>坚持政府领导、部门统筹协调、企业负责。</w:t>
      </w:r>
      <w:r>
        <w:rPr>
          <w:rFonts w:hint="eastAsia" w:ascii="仿宋_GB2312" w:eastAsia="仿宋_GB2312"/>
          <w:color w:val="000000"/>
          <w:sz w:val="32"/>
          <w:szCs w:val="32"/>
        </w:rPr>
        <w:t>充分发挥政府主导作用，完善多部门协调联动机制，落实企业主体责任，加强教育引导，形成健康企业创建的良好氛围。</w:t>
      </w:r>
    </w:p>
    <w:p>
      <w:pPr>
        <w:widowControl w:val="0"/>
        <w:wordWrap/>
        <w:spacing w:line="520" w:lineRule="exact"/>
        <w:ind w:firstLine="640" w:firstLineChars="200"/>
        <w:textAlignment w:val="auto"/>
        <w:rPr>
          <w:rFonts w:ascii="仿宋_GB2312" w:eastAsia="仿宋_GB2312"/>
          <w:color w:val="000000"/>
          <w:sz w:val="32"/>
          <w:szCs w:val="32"/>
        </w:rPr>
      </w:pPr>
      <w:r>
        <w:rPr>
          <w:rFonts w:hint="eastAsia" w:ascii="楷体_GB2312" w:eastAsia="楷体_GB2312"/>
          <w:color w:val="000000"/>
          <w:sz w:val="32"/>
          <w:szCs w:val="32"/>
        </w:rPr>
        <w:t>坚持属地化管理。</w:t>
      </w:r>
      <w:r>
        <w:rPr>
          <w:rFonts w:hint="eastAsia" w:ascii="仿宋_GB2312" w:eastAsia="仿宋_GB2312"/>
          <w:color w:val="000000"/>
          <w:sz w:val="32"/>
          <w:szCs w:val="32"/>
        </w:rPr>
        <w:t>健康</w:t>
      </w:r>
      <w:r>
        <w:rPr>
          <w:rFonts w:ascii="仿宋_GB2312" w:eastAsia="仿宋_GB2312"/>
          <w:color w:val="000000"/>
          <w:sz w:val="32"/>
          <w:szCs w:val="32"/>
        </w:rPr>
        <w:t>企业建设评估</w:t>
      </w:r>
      <w:r>
        <w:rPr>
          <w:rFonts w:hint="eastAsia" w:ascii="仿宋_GB2312" w:eastAsia="仿宋_GB2312"/>
          <w:color w:val="000000"/>
          <w:sz w:val="32"/>
          <w:szCs w:val="32"/>
        </w:rPr>
        <w:t>以县（市</w:t>
      </w:r>
      <w:r>
        <w:rPr>
          <w:rFonts w:ascii="仿宋_GB2312" w:eastAsia="仿宋_GB2312"/>
          <w:color w:val="000000"/>
          <w:sz w:val="32"/>
          <w:szCs w:val="32"/>
        </w:rPr>
        <w:t>、区）</w:t>
      </w:r>
      <w:r>
        <w:rPr>
          <w:rFonts w:hint="eastAsia" w:ascii="仿宋_GB2312" w:eastAsia="仿宋_GB2312"/>
          <w:color w:val="000000"/>
          <w:sz w:val="32"/>
          <w:szCs w:val="32"/>
        </w:rPr>
        <w:t>为</w:t>
      </w:r>
      <w:r>
        <w:rPr>
          <w:rFonts w:ascii="仿宋_GB2312" w:eastAsia="仿宋_GB2312"/>
          <w:color w:val="000000"/>
          <w:sz w:val="32"/>
          <w:szCs w:val="32"/>
        </w:rPr>
        <w:t>基本</w:t>
      </w:r>
      <w:r>
        <w:rPr>
          <w:rFonts w:hint="eastAsia" w:ascii="仿宋_GB2312" w:eastAsia="仿宋_GB2312"/>
          <w:color w:val="000000"/>
          <w:sz w:val="32"/>
          <w:szCs w:val="32"/>
        </w:rPr>
        <w:t>单位，面向全省各级各类企业开展，鼓励国有企业和职业病危害严重行业企业率先进行。</w:t>
      </w:r>
    </w:p>
    <w:p>
      <w:pPr>
        <w:widowControl w:val="0"/>
        <w:wordWrap/>
        <w:spacing w:line="520" w:lineRule="exact"/>
        <w:ind w:firstLine="640" w:firstLineChars="200"/>
        <w:textAlignment w:val="auto"/>
        <w:rPr>
          <w:rFonts w:ascii="仿宋_GB2312" w:eastAsia="仿宋_GB2312"/>
          <w:color w:val="000000"/>
          <w:sz w:val="32"/>
          <w:szCs w:val="32"/>
        </w:rPr>
      </w:pPr>
      <w:r>
        <w:rPr>
          <w:rFonts w:hint="eastAsia" w:ascii="楷体_GB2312" w:eastAsia="楷体_GB2312"/>
          <w:color w:val="000000"/>
          <w:sz w:val="32"/>
          <w:szCs w:val="32"/>
        </w:rPr>
        <w:t>坚持技术引领。</w:t>
      </w:r>
      <w:r>
        <w:rPr>
          <w:rFonts w:hint="eastAsia" w:ascii="仿宋_GB2312" w:eastAsia="仿宋_GB2312"/>
          <w:color w:val="000000"/>
          <w:sz w:val="32"/>
          <w:szCs w:val="32"/>
        </w:rPr>
        <w:t>关注新业态新</w:t>
      </w:r>
      <w:r>
        <w:rPr>
          <w:rFonts w:ascii="仿宋_GB2312" w:eastAsia="仿宋_GB2312"/>
          <w:color w:val="000000"/>
          <w:sz w:val="32"/>
          <w:szCs w:val="32"/>
        </w:rPr>
        <w:t>工艺</w:t>
      </w:r>
      <w:r>
        <w:rPr>
          <w:rFonts w:hint="eastAsia" w:ascii="仿宋_GB2312" w:eastAsia="仿宋_GB2312"/>
          <w:color w:val="000000"/>
          <w:sz w:val="32"/>
          <w:szCs w:val="32"/>
        </w:rPr>
        <w:t>新模式产生的健康新问题，充分发挥技术支撑作用，因地制宜开展工作，确保健康企业建设成效。</w:t>
      </w:r>
    </w:p>
    <w:p>
      <w:pPr>
        <w:widowControl w:val="0"/>
        <w:wordWrap/>
        <w:spacing w:line="520" w:lineRule="exact"/>
        <w:ind w:firstLine="600" w:firstLineChars="200"/>
        <w:textAlignment w:val="auto"/>
        <w:rPr>
          <w:rFonts w:ascii="黑体" w:hAnsi="黑体" w:eastAsia="黑体" w:cs="方正黑体_GBK"/>
          <w:color w:val="000000"/>
          <w:sz w:val="30"/>
          <w:szCs w:val="30"/>
          <w:lang w:val="zh-CN"/>
        </w:rPr>
      </w:pPr>
      <w:r>
        <w:rPr>
          <w:rFonts w:hint="eastAsia" w:ascii="黑体" w:hAnsi="黑体" w:eastAsia="黑体" w:cs="方正黑体_GBK"/>
          <w:color w:val="000000"/>
          <w:sz w:val="30"/>
          <w:szCs w:val="30"/>
          <w:lang w:val="zh-CN"/>
        </w:rPr>
        <w:t>三、目标任务</w:t>
      </w:r>
    </w:p>
    <w:p>
      <w:pPr>
        <w:widowControl w:val="0"/>
        <w:wordWrap/>
        <w:spacing w:line="52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通过健康企业建设活动，不断完善企业健康管理制度，有效改善企业健康工作环境，提升健康管理和服务水平，打造企业健康文化，满足企业员工健康需求，实现企业建设与人的健康协调发展。22022年底前，省级健康企业数量达到70家以上，各地区上报的健康企业数量至少要达到《吉林省健康企业建设任务分配表(2022年)》（附件6）要求，各地创建市、县级健康企业数量自定。此后逐年递增，到2030年底前，全省形成一定规模制度健全、管理规范、防护设施完备有效、职业健康文化与实践突出、劳动者健康权益得到切实保障的健康企业。</w:t>
      </w:r>
    </w:p>
    <w:p>
      <w:pPr>
        <w:widowControl w:val="0"/>
        <w:wordWrap/>
        <w:spacing w:line="520" w:lineRule="exact"/>
        <w:ind w:firstLine="600" w:firstLineChars="200"/>
        <w:textAlignment w:val="auto"/>
        <w:rPr>
          <w:rFonts w:ascii="黑体" w:hAnsi="黑体" w:eastAsia="黑体" w:cs="方正黑体_GBK"/>
          <w:color w:val="000000"/>
          <w:sz w:val="30"/>
          <w:szCs w:val="30"/>
          <w:lang w:val="zh-CN"/>
        </w:rPr>
      </w:pPr>
      <w:r>
        <w:rPr>
          <w:rFonts w:hint="eastAsia" w:ascii="黑体" w:hAnsi="黑体" w:eastAsia="黑体" w:cs="方正黑体_GBK"/>
          <w:color w:val="000000"/>
          <w:sz w:val="30"/>
          <w:szCs w:val="30"/>
          <w:lang w:val="zh-CN"/>
        </w:rPr>
        <w:t>四、组织机构</w:t>
      </w:r>
    </w:p>
    <w:p>
      <w:pPr>
        <w:widowControl w:val="0"/>
        <w:wordWrap/>
        <w:spacing w:line="52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省里成立健康企业建设领导小组，负责全省健康企业建设活动的组织领导，省卫生健康委为牵头单位，分管领导为组长，成员由省卫生健康委、省工业和信息化厅、省人力资源社会保障厅、省生态环境厅、省医保局、省总工会、团省委、省妇联等8个部门各1名处级干部组成。领导小组办公室设在省卫生健康委职业健康处，负责全省健康企业建设活动的组织实施。</w:t>
      </w:r>
    </w:p>
    <w:p>
      <w:pPr>
        <w:widowControl w:val="0"/>
        <w:wordWrap/>
        <w:spacing w:line="52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各市（州）和县（市、区）设立相应组织机构，结合实际组织开展好本级健康企业建设活动。</w:t>
      </w:r>
    </w:p>
    <w:p>
      <w:pPr>
        <w:widowControl w:val="0"/>
        <w:wordWrap/>
        <w:spacing w:line="520" w:lineRule="exact"/>
        <w:ind w:firstLine="600" w:firstLineChars="200"/>
        <w:textAlignment w:val="auto"/>
        <w:rPr>
          <w:rFonts w:ascii="黑体" w:hAnsi="黑体" w:eastAsia="黑体" w:cs="方正黑体_GBK"/>
          <w:color w:val="000000"/>
          <w:sz w:val="30"/>
          <w:szCs w:val="30"/>
          <w:lang w:val="zh-CN"/>
        </w:rPr>
      </w:pPr>
      <w:r>
        <w:rPr>
          <w:rFonts w:hint="eastAsia" w:ascii="黑体" w:hAnsi="黑体" w:eastAsia="黑体" w:cs="方正黑体_GBK"/>
          <w:color w:val="000000"/>
          <w:sz w:val="30"/>
          <w:szCs w:val="30"/>
          <w:lang w:val="zh-CN"/>
        </w:rPr>
        <w:t>五、评定标准和程序</w:t>
      </w:r>
    </w:p>
    <w:p>
      <w:pPr>
        <w:widowControl w:val="0"/>
        <w:wordWrap/>
        <w:spacing w:line="52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全省满足《吉林省健康企业评估表》（附件4）中基本条件要求的各类企业均可参加健康企业评定。评估总分为1000分，其中，评估得分800分及以上的，可以申请县级健康企业；评估得分850及以上的，可以申请评定市级健康企业；评估得分900分及以上的，可以申请评定省级健康企业。</w:t>
      </w:r>
    </w:p>
    <w:p>
      <w:pPr>
        <w:widowControl w:val="0"/>
        <w:wordWrap/>
        <w:spacing w:line="520" w:lineRule="exact"/>
        <w:ind w:firstLine="640" w:firstLineChars="200"/>
        <w:textAlignment w:val="auto"/>
        <w:rPr>
          <w:rFonts w:ascii="仿宋_GB2312" w:eastAsia="仿宋_GB2312"/>
          <w:color w:val="000000"/>
          <w:sz w:val="32"/>
          <w:szCs w:val="32"/>
        </w:rPr>
      </w:pPr>
      <w:r>
        <w:rPr>
          <w:rFonts w:hint="eastAsia" w:ascii="楷体_GB2312" w:hAnsi="宋体" w:eastAsia="楷体_GB2312" w:cs="仿宋_GB2312"/>
          <w:color w:val="000000"/>
          <w:kern w:val="32"/>
          <w:sz w:val="32"/>
          <w:szCs w:val="32"/>
          <w:shd w:val="clear" w:color="auto" w:fill="FFFFFF"/>
        </w:rPr>
        <w:t>（一）省级健康企业评定程序。</w:t>
      </w:r>
      <w:r>
        <w:rPr>
          <w:rFonts w:hint="eastAsia" w:ascii="仿宋_GB2312" w:eastAsia="仿宋_GB2312"/>
          <w:color w:val="000000"/>
          <w:sz w:val="32"/>
          <w:szCs w:val="32"/>
        </w:rPr>
        <w:t>按照企业自评申请、县级审核评定、市级复核评定、省级验收评定的程序进行。</w:t>
      </w:r>
    </w:p>
    <w:p>
      <w:pPr>
        <w:widowControl w:val="0"/>
        <w:wordWrap/>
        <w:spacing w:line="520" w:lineRule="exact"/>
        <w:ind w:firstLine="643" w:firstLineChars="200"/>
        <w:textAlignment w:val="auto"/>
        <w:rPr>
          <w:rFonts w:ascii="仿宋_GB2312" w:eastAsia="仿宋_GB2312"/>
          <w:color w:val="000000"/>
          <w:sz w:val="32"/>
          <w:szCs w:val="32"/>
        </w:rPr>
      </w:pPr>
      <w:r>
        <w:rPr>
          <w:rFonts w:hint="eastAsia" w:ascii="仿宋_GB2312" w:eastAsia="仿宋_GB2312"/>
          <w:b/>
          <w:color w:val="000000"/>
          <w:sz w:val="32"/>
          <w:szCs w:val="32"/>
        </w:rPr>
        <w:t>1.企业自评申请。</w:t>
      </w:r>
      <w:r>
        <w:rPr>
          <w:rFonts w:hint="eastAsia" w:ascii="仿宋_GB2312" w:eastAsia="仿宋_GB2312"/>
          <w:color w:val="000000"/>
          <w:sz w:val="32"/>
          <w:szCs w:val="32"/>
        </w:rPr>
        <w:t>企业对照《健康企业建设规范（试行）》（附件1）《吉林省健康企业评估表》（附件4）要求逐项进行自评打分，自评结果符合要求的，于每年10月10日前，向所在地县级卫生健康主管部门提出健康企业申请。中省属企业向所在地市级卫生健康主管部门进行申请。自评材料归档备查。</w:t>
      </w:r>
    </w:p>
    <w:p>
      <w:pPr>
        <w:widowControl w:val="0"/>
        <w:wordWrap/>
        <w:spacing w:line="52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申请材料包括：《吉林省健康企业申请表》（附件</w:t>
      </w:r>
      <w:r>
        <w:rPr>
          <w:rFonts w:ascii="仿宋_GB2312" w:eastAsia="仿宋_GB2312"/>
          <w:color w:val="000000"/>
          <w:sz w:val="32"/>
          <w:szCs w:val="32"/>
        </w:rPr>
        <w:t>2</w:t>
      </w:r>
      <w:r>
        <w:rPr>
          <w:rFonts w:hint="eastAsia" w:ascii="仿宋_GB2312" w:eastAsia="仿宋_GB2312"/>
          <w:color w:val="000000"/>
          <w:sz w:val="32"/>
          <w:szCs w:val="32"/>
        </w:rPr>
        <w:t>）、《吉林省健康企业建设承诺书》（附件3）、《吉林省健康企业评估表》（附件4）。</w:t>
      </w:r>
    </w:p>
    <w:p>
      <w:pPr>
        <w:widowControl w:val="0"/>
        <w:wordWrap/>
        <w:spacing w:line="520" w:lineRule="exact"/>
        <w:ind w:firstLine="643" w:firstLineChars="200"/>
        <w:textAlignment w:val="auto"/>
        <w:rPr>
          <w:rFonts w:ascii="仿宋_GB2312" w:eastAsia="仿宋_GB2312"/>
          <w:color w:val="000000"/>
          <w:sz w:val="32"/>
          <w:szCs w:val="32"/>
        </w:rPr>
      </w:pPr>
      <w:r>
        <w:rPr>
          <w:rFonts w:hint="eastAsia" w:ascii="仿宋_GB2312" w:eastAsia="仿宋_GB2312"/>
          <w:b/>
          <w:color w:val="000000"/>
          <w:sz w:val="32"/>
          <w:szCs w:val="32"/>
        </w:rPr>
        <w:t>2.县级审核评定。</w:t>
      </w:r>
      <w:r>
        <w:rPr>
          <w:rFonts w:hint="eastAsia" w:ascii="仿宋_GB2312" w:eastAsia="仿宋_GB2312"/>
          <w:color w:val="000000"/>
          <w:sz w:val="32"/>
          <w:szCs w:val="32"/>
        </w:rPr>
        <w:t>县级卫生健康行政部门收到企业申请材料后，应当组织相关职能部门主管人员和专家对每一申请企业进行现场评估，并在附件4的县级评估栏中填写符合情况和分数。符合市级以上认定条件的，将附件2、3、4电子扫描件或复印件一并报送市级卫生健康行政部门。</w:t>
      </w:r>
    </w:p>
    <w:p>
      <w:pPr>
        <w:widowControl w:val="0"/>
        <w:wordWrap/>
        <w:spacing w:line="520" w:lineRule="exact"/>
        <w:ind w:firstLine="643" w:firstLineChars="200"/>
        <w:textAlignment w:val="auto"/>
        <w:rPr>
          <w:rFonts w:ascii="仿宋_GB2312" w:eastAsia="仿宋_GB2312"/>
          <w:color w:val="000000"/>
          <w:sz w:val="32"/>
          <w:szCs w:val="32"/>
        </w:rPr>
      </w:pPr>
      <w:r>
        <w:rPr>
          <w:rFonts w:hint="eastAsia" w:ascii="仿宋_GB2312" w:eastAsia="仿宋_GB2312"/>
          <w:b/>
          <w:color w:val="000000"/>
          <w:sz w:val="32"/>
          <w:szCs w:val="32"/>
        </w:rPr>
        <w:t>3.市级复核评定。</w:t>
      </w:r>
      <w:r>
        <w:rPr>
          <w:rFonts w:hint="eastAsia" w:ascii="仿宋_GB2312" w:eastAsia="仿宋_GB2312"/>
          <w:color w:val="000000"/>
          <w:sz w:val="32"/>
          <w:szCs w:val="32"/>
        </w:rPr>
        <w:t>市级卫生健康行政部门收到县级评定材料后，应牵头组织相关职能部门主管人员和专家，以县级为单位，按评分高低分层随机抽取60%的申报企业进行现场复核评估，10 家及以下复核评估须全覆盖，并在附件4的市级评估栏填写符合情况和分数。符合省级认定条件的，每年11月15日前，按照评估得分高低排序填报《吉林省健康企业上报名单》（附件5），连同附件2、</w:t>
      </w:r>
      <w:r>
        <w:rPr>
          <w:rFonts w:ascii="仿宋_GB2312" w:eastAsia="仿宋_GB2312"/>
          <w:color w:val="000000"/>
          <w:sz w:val="32"/>
          <w:szCs w:val="32"/>
        </w:rPr>
        <w:t>3</w:t>
      </w:r>
      <w:r>
        <w:rPr>
          <w:rFonts w:hint="eastAsia" w:ascii="仿宋_GB2312" w:eastAsia="仿宋_GB2312"/>
          <w:color w:val="000000"/>
          <w:sz w:val="32"/>
          <w:szCs w:val="32"/>
        </w:rPr>
        <w:t>、</w:t>
      </w:r>
      <w:r>
        <w:rPr>
          <w:rFonts w:ascii="仿宋_GB2312" w:eastAsia="仿宋_GB2312"/>
          <w:color w:val="000000"/>
          <w:sz w:val="32"/>
          <w:szCs w:val="32"/>
        </w:rPr>
        <w:t>4</w:t>
      </w:r>
      <w:r>
        <w:rPr>
          <w:rFonts w:hint="eastAsia" w:ascii="仿宋_GB2312" w:eastAsia="仿宋_GB2312"/>
          <w:color w:val="000000"/>
          <w:sz w:val="32"/>
          <w:szCs w:val="32"/>
        </w:rPr>
        <w:t>、5的电子扫描件或复印件，一并报送省健康企业建设领导小组办公室。</w:t>
      </w:r>
    </w:p>
    <w:p>
      <w:pPr>
        <w:widowControl w:val="0"/>
        <w:wordWrap/>
        <w:spacing w:line="520" w:lineRule="exact"/>
        <w:ind w:firstLine="643" w:firstLineChars="200"/>
        <w:textAlignment w:val="auto"/>
        <w:rPr>
          <w:rFonts w:ascii="宋体" w:hAnsi="宋体" w:eastAsia="仿宋_GB2312" w:cs="仿宋_GB2312"/>
          <w:color w:val="000000"/>
          <w:kern w:val="32"/>
          <w:sz w:val="32"/>
          <w:szCs w:val="32"/>
          <w:shd w:val="clear" w:color="auto" w:fill="FFFFFF"/>
        </w:rPr>
      </w:pPr>
      <w:r>
        <w:rPr>
          <w:rFonts w:hint="eastAsia" w:ascii="仿宋_GB2312" w:eastAsia="仿宋_GB2312"/>
          <w:b/>
          <w:color w:val="000000"/>
          <w:sz w:val="32"/>
          <w:szCs w:val="32"/>
        </w:rPr>
        <w:t>4.省级验收评定。</w:t>
      </w:r>
      <w:r>
        <w:rPr>
          <w:rFonts w:hint="eastAsia" w:ascii="仿宋_GB2312" w:eastAsia="仿宋_GB2312"/>
          <w:color w:val="000000"/>
          <w:sz w:val="32"/>
          <w:szCs w:val="32"/>
        </w:rPr>
        <w:t>每年12月10日前，省健康企业建设领导小组办公室选取相关职能部门主管人员和专家组成省级健康企业评估组，对各地区申请资料进行审核和现场技术评估，形成专家评估书面意见。依据专家书面评估意见和相关资料，研究拟定省级健康企业名单，而后在省卫生健康委网站等相关平台上向社会进行为期一周的公示，公示结果无异议的，认定为吉林省健康企业，并予全省通报。</w:t>
      </w:r>
    </w:p>
    <w:p>
      <w:pPr>
        <w:widowControl w:val="0"/>
        <w:wordWrap/>
        <w:spacing w:line="520" w:lineRule="exact"/>
        <w:ind w:firstLine="480"/>
        <w:textAlignment w:val="auto"/>
        <w:rPr>
          <w:rFonts w:ascii="仿宋_GB2312" w:eastAsia="仿宋_GB2312"/>
          <w:color w:val="000000"/>
          <w:sz w:val="32"/>
          <w:szCs w:val="32"/>
        </w:rPr>
      </w:pPr>
      <w:r>
        <w:rPr>
          <w:rFonts w:hint="eastAsia" w:ascii="楷体_GB2312" w:hAnsi="宋体" w:eastAsia="楷体_GB2312" w:cs="仿宋_GB2312"/>
          <w:color w:val="000000"/>
          <w:kern w:val="32"/>
          <w:sz w:val="32"/>
          <w:szCs w:val="32"/>
          <w:shd w:val="clear" w:color="auto" w:fill="FFFFFF"/>
        </w:rPr>
        <w:t>（二）市级、县级健康企业评定程序。</w:t>
      </w:r>
      <w:r>
        <w:rPr>
          <w:rFonts w:hint="eastAsia" w:ascii="仿宋_GB2312" w:eastAsia="仿宋_GB2312"/>
          <w:color w:val="000000"/>
          <w:sz w:val="32"/>
          <w:szCs w:val="32"/>
        </w:rPr>
        <w:t>由市级和县级参照省级评定程序制定和组织实施。</w:t>
      </w:r>
    </w:p>
    <w:p>
      <w:pPr>
        <w:widowControl w:val="0"/>
        <w:wordWrap/>
        <w:spacing w:line="520" w:lineRule="exact"/>
        <w:ind w:firstLine="600" w:firstLineChars="200"/>
        <w:textAlignment w:val="auto"/>
        <w:rPr>
          <w:rFonts w:ascii="黑体" w:hAnsi="黑体" w:eastAsia="黑体" w:cs="方正黑体_GBK"/>
          <w:color w:val="000000"/>
          <w:sz w:val="30"/>
          <w:szCs w:val="30"/>
          <w:lang w:val="zh-CN"/>
        </w:rPr>
      </w:pPr>
      <w:r>
        <w:rPr>
          <w:rFonts w:hint="eastAsia" w:ascii="黑体" w:hAnsi="黑体" w:eastAsia="黑体" w:cs="方正黑体_GBK"/>
          <w:color w:val="000000"/>
          <w:sz w:val="30"/>
          <w:szCs w:val="30"/>
          <w:lang w:val="zh-CN"/>
        </w:rPr>
        <w:t>六、激励措施</w:t>
      </w:r>
    </w:p>
    <w:p>
      <w:pPr>
        <w:widowControl w:val="0"/>
        <w:wordWrap/>
        <w:spacing w:line="520" w:lineRule="exact"/>
        <w:ind w:firstLine="640" w:firstLineChars="200"/>
        <w:textAlignment w:val="auto"/>
        <w:rPr>
          <w:rFonts w:ascii="宋体" w:hAnsi="宋体" w:eastAsia="仿宋_GB2312" w:cs="仿宋_GB2312"/>
          <w:color w:val="000000"/>
          <w:kern w:val="32"/>
          <w:sz w:val="32"/>
          <w:szCs w:val="32"/>
          <w:shd w:val="clear" w:color="auto" w:fill="FFFFFF"/>
        </w:rPr>
      </w:pPr>
      <w:r>
        <w:rPr>
          <w:rFonts w:hint="eastAsia" w:ascii="宋体" w:hAnsi="宋体" w:eastAsia="仿宋_GB2312" w:cs="仿宋_GB2312"/>
          <w:color w:val="000000"/>
          <w:kern w:val="32"/>
          <w:sz w:val="32"/>
          <w:szCs w:val="32"/>
          <w:shd w:val="clear" w:color="auto" w:fill="FFFFFF"/>
        </w:rPr>
        <w:t>（一）对经省级评定符合条件要求的企业颁授“吉林省健康企业”牌匾。</w:t>
      </w:r>
    </w:p>
    <w:p>
      <w:pPr>
        <w:widowControl w:val="0"/>
        <w:wordWrap/>
        <w:spacing w:line="520" w:lineRule="exact"/>
        <w:ind w:firstLine="640" w:firstLineChars="200"/>
        <w:textAlignment w:val="auto"/>
        <w:rPr>
          <w:rFonts w:ascii="宋体" w:hAnsi="宋体" w:eastAsia="仿宋_GB2312" w:cs="仿宋_GB2312"/>
          <w:color w:val="000000"/>
          <w:kern w:val="32"/>
          <w:sz w:val="32"/>
          <w:szCs w:val="32"/>
          <w:shd w:val="clear" w:color="auto" w:fill="FFFFFF"/>
        </w:rPr>
      </w:pPr>
      <w:r>
        <w:rPr>
          <w:rFonts w:hint="eastAsia" w:ascii="宋体" w:hAnsi="宋体" w:eastAsia="仿宋_GB2312" w:cs="仿宋_GB2312"/>
          <w:color w:val="000000"/>
          <w:kern w:val="32"/>
          <w:sz w:val="32"/>
          <w:szCs w:val="32"/>
          <w:shd w:val="clear" w:color="auto" w:fill="FFFFFF"/>
        </w:rPr>
        <w:t>（二）对管理机制长效落实，建设成效显著，特色鲜明的健康企业典型案例，将通过各类媒体大力进行宣传推广。</w:t>
      </w:r>
    </w:p>
    <w:p>
      <w:pPr>
        <w:widowControl w:val="0"/>
        <w:wordWrap/>
        <w:spacing w:line="520" w:lineRule="exact"/>
        <w:ind w:firstLine="640" w:firstLineChars="200"/>
        <w:textAlignment w:val="auto"/>
        <w:rPr>
          <w:rFonts w:ascii="宋体" w:hAnsi="宋体" w:eastAsia="仿宋_GB2312" w:cs="仿宋_GB2312"/>
          <w:color w:val="000000"/>
          <w:kern w:val="32"/>
          <w:sz w:val="32"/>
          <w:szCs w:val="32"/>
          <w:shd w:val="clear" w:color="auto" w:fill="FFFFFF"/>
        </w:rPr>
      </w:pPr>
      <w:r>
        <w:rPr>
          <w:rFonts w:hint="eastAsia" w:ascii="宋体" w:hAnsi="宋体" w:eastAsia="仿宋_GB2312" w:cs="仿宋_GB2312"/>
          <w:color w:val="000000"/>
          <w:kern w:val="32"/>
          <w:sz w:val="32"/>
          <w:szCs w:val="32"/>
          <w:shd w:val="clear" w:color="auto" w:fill="FFFFFF"/>
        </w:rPr>
        <w:t>（三）对健康企业合理减少监督检查频次。</w:t>
      </w:r>
    </w:p>
    <w:p>
      <w:pPr>
        <w:widowControl w:val="0"/>
        <w:wordWrap/>
        <w:spacing w:line="520" w:lineRule="exact"/>
        <w:ind w:firstLine="640" w:firstLineChars="200"/>
        <w:textAlignment w:val="auto"/>
        <w:rPr>
          <w:rFonts w:ascii="宋体" w:hAnsi="宋体" w:eastAsia="仿宋_GB2312" w:cs="仿宋_GB2312"/>
          <w:color w:val="000000"/>
          <w:kern w:val="32"/>
          <w:sz w:val="32"/>
          <w:szCs w:val="32"/>
          <w:shd w:val="clear" w:color="auto" w:fill="FFFFFF"/>
        </w:rPr>
      </w:pPr>
      <w:r>
        <w:rPr>
          <w:rFonts w:hint="eastAsia" w:ascii="宋体" w:hAnsi="宋体" w:eastAsia="仿宋_GB2312" w:cs="仿宋_GB2312"/>
          <w:color w:val="000000"/>
          <w:kern w:val="32"/>
          <w:sz w:val="32"/>
          <w:szCs w:val="32"/>
          <w:shd w:val="clear" w:color="auto" w:fill="FFFFFF"/>
        </w:rPr>
        <w:t>（四）对获评的中小微健康企业积极争取职业健康帮扶，优先落实健康帮扶政策。</w:t>
      </w:r>
    </w:p>
    <w:p>
      <w:pPr>
        <w:widowControl w:val="0"/>
        <w:wordWrap/>
        <w:spacing w:line="520" w:lineRule="exact"/>
        <w:ind w:firstLine="640" w:firstLineChars="200"/>
        <w:textAlignment w:val="auto"/>
        <w:rPr>
          <w:rFonts w:ascii="宋体" w:hAnsi="宋体" w:eastAsia="仿宋_GB2312" w:cs="仿宋_GB2312"/>
          <w:color w:val="000000"/>
          <w:kern w:val="32"/>
          <w:sz w:val="32"/>
          <w:szCs w:val="32"/>
          <w:shd w:val="clear" w:color="auto" w:fill="FFFFFF"/>
        </w:rPr>
      </w:pPr>
      <w:r>
        <w:rPr>
          <w:rFonts w:hint="eastAsia" w:ascii="宋体" w:hAnsi="宋体" w:eastAsia="仿宋_GB2312" w:cs="仿宋_GB2312"/>
          <w:color w:val="000000"/>
          <w:kern w:val="32"/>
          <w:sz w:val="32"/>
          <w:szCs w:val="32"/>
          <w:shd w:val="clear" w:color="auto" w:fill="FFFFFF"/>
        </w:rPr>
        <w:t>（五）积极争取工伤保险预防经费，为吉林省健康企业提供免费教育培训服务。</w:t>
      </w:r>
    </w:p>
    <w:p>
      <w:pPr>
        <w:widowControl w:val="0"/>
        <w:wordWrap/>
        <w:spacing w:line="520" w:lineRule="exact"/>
        <w:ind w:firstLine="600" w:firstLineChars="200"/>
        <w:textAlignment w:val="auto"/>
        <w:rPr>
          <w:rFonts w:ascii="黑体" w:hAnsi="黑体" w:eastAsia="黑体" w:cs="方正黑体_GBK"/>
          <w:color w:val="000000"/>
          <w:sz w:val="30"/>
          <w:szCs w:val="30"/>
          <w:lang w:val="zh-CN"/>
        </w:rPr>
      </w:pPr>
      <w:r>
        <w:rPr>
          <w:rFonts w:hint="eastAsia" w:ascii="黑体" w:hAnsi="黑体" w:eastAsia="黑体" w:cs="方正黑体_GBK"/>
          <w:color w:val="000000"/>
          <w:sz w:val="30"/>
          <w:szCs w:val="30"/>
          <w:lang w:val="zh-CN"/>
        </w:rPr>
        <w:t>七、管理制度</w:t>
      </w:r>
    </w:p>
    <w:p>
      <w:pPr>
        <w:widowControl w:val="0"/>
        <w:wordWrap/>
        <w:spacing w:line="520" w:lineRule="exact"/>
        <w:ind w:firstLine="640" w:firstLineChars="200"/>
        <w:textAlignment w:val="auto"/>
        <w:rPr>
          <w:rFonts w:ascii="仿宋_GB2312" w:eastAsia="仿宋_GB2312"/>
          <w:color w:val="000000"/>
          <w:sz w:val="32"/>
          <w:szCs w:val="32"/>
        </w:rPr>
      </w:pPr>
      <w:r>
        <w:rPr>
          <w:rFonts w:hint="eastAsia" w:ascii="楷体_GB2312" w:hAnsi="宋体" w:eastAsia="楷体_GB2312" w:cs="仿宋_GB2312"/>
          <w:color w:val="000000"/>
          <w:kern w:val="32"/>
          <w:sz w:val="32"/>
          <w:szCs w:val="32"/>
          <w:shd w:val="clear" w:color="auto" w:fill="FFFFFF"/>
        </w:rPr>
        <w:t>（一）实行动态管理制度。</w:t>
      </w:r>
      <w:r>
        <w:rPr>
          <w:rFonts w:hint="eastAsia" w:ascii="仿宋_GB2312" w:eastAsia="仿宋_GB2312"/>
          <w:color w:val="000000"/>
          <w:sz w:val="32"/>
          <w:szCs w:val="32"/>
        </w:rPr>
        <w:t>每年各级对新申请企业组织一次评定，对满3周年的健康企业组织一次复审。健康企业自卫生健康行政部门公布确认之日起，每满</w:t>
      </w:r>
      <w:r>
        <w:rPr>
          <w:rFonts w:ascii="仿宋_GB2312" w:eastAsia="仿宋_GB2312"/>
          <w:color w:val="000000"/>
          <w:sz w:val="32"/>
          <w:szCs w:val="32"/>
        </w:rPr>
        <w:t>3</w:t>
      </w:r>
      <w:r>
        <w:rPr>
          <w:rFonts w:hint="eastAsia" w:ascii="仿宋_GB2312" w:eastAsia="仿宋_GB2312"/>
          <w:color w:val="000000"/>
          <w:sz w:val="32"/>
          <w:szCs w:val="32"/>
        </w:rPr>
        <w:t>周年的前</w:t>
      </w:r>
      <w:r>
        <w:rPr>
          <w:rFonts w:ascii="仿宋_GB2312" w:eastAsia="仿宋_GB2312"/>
          <w:color w:val="000000"/>
          <w:sz w:val="32"/>
          <w:szCs w:val="32"/>
        </w:rPr>
        <w:t>3</w:t>
      </w:r>
      <w:r>
        <w:rPr>
          <w:rFonts w:hint="eastAsia" w:ascii="仿宋_GB2312" w:eastAsia="仿宋_GB2312"/>
          <w:color w:val="000000"/>
          <w:sz w:val="32"/>
          <w:szCs w:val="32"/>
        </w:rPr>
        <w:t>个月内，向县级卫生健康行政部门提交附件2和附件4，并配合好卫生健康行政部门的复审工作。省卫生健康委每年对建设效果进行评估，把健康企业建设活动纳入相关工作，实行动态管理，统筹推进。</w:t>
      </w:r>
    </w:p>
    <w:p>
      <w:pPr>
        <w:widowControl w:val="0"/>
        <w:wordWrap/>
        <w:spacing w:line="520" w:lineRule="exact"/>
        <w:ind w:firstLine="640" w:firstLineChars="200"/>
        <w:textAlignment w:val="auto"/>
        <w:rPr>
          <w:rFonts w:ascii="仿宋_GB2312" w:eastAsia="仿宋_GB2312"/>
          <w:color w:val="000000"/>
          <w:sz w:val="32"/>
          <w:szCs w:val="32"/>
        </w:rPr>
      </w:pPr>
      <w:r>
        <w:rPr>
          <w:rFonts w:hint="eastAsia" w:ascii="楷体_GB2312" w:hAnsi="宋体" w:eastAsia="楷体_GB2312" w:cs="仿宋_GB2312"/>
          <w:color w:val="000000"/>
          <w:kern w:val="32"/>
          <w:sz w:val="32"/>
          <w:szCs w:val="32"/>
          <w:shd w:val="clear" w:color="auto" w:fill="FFFFFF"/>
        </w:rPr>
        <w:t>（二）实行退出机制。</w:t>
      </w:r>
      <w:r>
        <w:rPr>
          <w:rFonts w:hint="eastAsia" w:ascii="仿宋_GB2312" w:eastAsia="仿宋_GB2312"/>
          <w:color w:val="000000"/>
          <w:sz w:val="32"/>
          <w:szCs w:val="32"/>
        </w:rPr>
        <w:t>各级卫生健康行政部门应建立健全本级健康企业基础信息库，每年经过复审，对到期未提交附件2、附件4的和不满足健康企业标准的，</w:t>
      </w:r>
      <w:r>
        <w:rPr>
          <w:rFonts w:hint="eastAsia" w:ascii="宋体" w:hAnsi="宋体" w:eastAsia="仿宋_GB2312" w:cs="宋体"/>
          <w:color w:val="000000"/>
          <w:kern w:val="32"/>
          <w:sz w:val="32"/>
          <w:szCs w:val="32"/>
          <w:shd w:val="clear" w:color="auto" w:fill="FFFFFF"/>
        </w:rPr>
        <w:t>取消其健康企业称号并予以公告，</w:t>
      </w:r>
      <w:r>
        <w:rPr>
          <w:rFonts w:hint="eastAsia" w:ascii="仿宋_GB2312" w:eastAsia="仿宋_GB2312"/>
          <w:color w:val="000000"/>
          <w:sz w:val="32"/>
          <w:szCs w:val="32"/>
        </w:rPr>
        <w:t>从本级健康企业基础信息库中移除</w:t>
      </w:r>
      <w:r>
        <w:rPr>
          <w:rFonts w:hint="eastAsia" w:ascii="宋体" w:hAnsi="宋体" w:eastAsia="仿宋_GB2312" w:cs="宋体"/>
          <w:color w:val="000000"/>
          <w:kern w:val="32"/>
          <w:sz w:val="32"/>
          <w:szCs w:val="32"/>
          <w:shd w:val="clear" w:color="auto" w:fill="FFFFFF"/>
        </w:rPr>
        <w:t>。</w:t>
      </w:r>
      <w:r>
        <w:rPr>
          <w:rFonts w:hint="eastAsia" w:ascii="仿宋_GB2312" w:eastAsia="仿宋_GB2312"/>
          <w:color w:val="000000"/>
          <w:sz w:val="32"/>
          <w:szCs w:val="32"/>
        </w:rPr>
        <w:t>各地区于每年</w:t>
      </w:r>
      <w:r>
        <w:rPr>
          <w:rFonts w:ascii="仿宋_GB2312" w:eastAsia="仿宋_GB2312"/>
          <w:color w:val="000000"/>
          <w:sz w:val="32"/>
          <w:szCs w:val="32"/>
        </w:rPr>
        <w:t>12</w:t>
      </w:r>
      <w:r>
        <w:rPr>
          <w:rFonts w:hint="eastAsia" w:ascii="仿宋_GB2312" w:eastAsia="仿宋_GB2312"/>
          <w:color w:val="000000"/>
          <w:sz w:val="32"/>
          <w:szCs w:val="32"/>
        </w:rPr>
        <w:t>月10日前，将本地区退出健康企业名单上报省卫生健康委。</w:t>
      </w:r>
    </w:p>
    <w:p>
      <w:pPr>
        <w:widowControl w:val="0"/>
        <w:wordWrap/>
        <w:spacing w:line="520" w:lineRule="exact"/>
        <w:ind w:firstLine="600" w:firstLineChars="200"/>
        <w:textAlignment w:val="auto"/>
        <w:rPr>
          <w:rFonts w:ascii="黑体" w:hAnsi="黑体" w:eastAsia="黑体" w:cs="Times New Roman"/>
          <w:color w:val="000000"/>
          <w:sz w:val="30"/>
          <w:szCs w:val="30"/>
          <w:highlight w:val="yellow"/>
          <w:lang w:val="zh-CN"/>
        </w:rPr>
      </w:pPr>
      <w:r>
        <w:rPr>
          <w:rFonts w:hint="eastAsia" w:ascii="黑体" w:hAnsi="黑体" w:eastAsia="黑体" w:cs="方正黑体_GBK"/>
          <w:color w:val="000000"/>
          <w:sz w:val="30"/>
          <w:szCs w:val="30"/>
        </w:rPr>
        <w:t>八</w:t>
      </w:r>
      <w:r>
        <w:rPr>
          <w:rFonts w:hint="eastAsia" w:ascii="黑体" w:hAnsi="黑体" w:eastAsia="黑体" w:cs="方正黑体_GBK"/>
          <w:color w:val="000000"/>
          <w:sz w:val="30"/>
          <w:szCs w:val="30"/>
          <w:lang w:val="zh-CN"/>
        </w:rPr>
        <w:t>、工作要求</w:t>
      </w:r>
    </w:p>
    <w:p>
      <w:pPr>
        <w:widowControl w:val="0"/>
        <w:wordWrap/>
        <w:spacing w:line="520" w:lineRule="exact"/>
        <w:ind w:firstLine="640" w:firstLineChars="200"/>
        <w:textAlignment w:val="auto"/>
        <w:rPr>
          <w:rFonts w:ascii="宋体" w:hAnsi="宋体" w:eastAsia="仿宋_GB2312" w:cs="仿宋_GB2312"/>
          <w:color w:val="000000"/>
          <w:kern w:val="32"/>
          <w:sz w:val="32"/>
          <w:szCs w:val="32"/>
          <w:shd w:val="clear" w:color="auto" w:fill="FFFFFF"/>
        </w:rPr>
      </w:pPr>
      <w:r>
        <w:rPr>
          <w:rFonts w:hint="eastAsia" w:ascii="楷体_GB2312" w:hAnsi="宋体" w:eastAsia="楷体_GB2312" w:cs="仿宋_GB2312"/>
          <w:color w:val="000000"/>
          <w:kern w:val="32"/>
          <w:sz w:val="32"/>
          <w:szCs w:val="32"/>
          <w:shd w:val="clear" w:color="auto" w:fill="FFFFFF"/>
        </w:rPr>
        <w:t>（一）加强组织领导。</w:t>
      </w:r>
      <w:r>
        <w:rPr>
          <w:rFonts w:hint="eastAsia" w:ascii="宋体" w:hAnsi="宋体" w:eastAsia="仿宋_GB2312" w:cs="仿宋_GB2312"/>
          <w:color w:val="000000"/>
          <w:kern w:val="32"/>
          <w:sz w:val="32"/>
          <w:szCs w:val="32"/>
          <w:shd w:val="clear" w:color="auto" w:fill="FFFFFF"/>
        </w:rPr>
        <w:t>各级卫生健康行政部门要高度重视，严密组织，把健康企业建设，作为推进健康吉林行动的重要内容，纳入健康城市健康村镇建设的总体部署，纳入监测和考核范围，确定本地健康企业建设的具体工作举措</w:t>
      </w:r>
      <w:r>
        <w:rPr>
          <w:rFonts w:hint="eastAsia" w:ascii="仿宋_GB2312" w:eastAsia="仿宋_GB2312"/>
          <w:color w:val="000000"/>
          <w:sz w:val="32"/>
          <w:szCs w:val="32"/>
        </w:rPr>
        <w:t>和激励措施，</w:t>
      </w:r>
      <w:r>
        <w:rPr>
          <w:rFonts w:hint="eastAsia" w:ascii="宋体" w:hAnsi="宋体" w:eastAsia="仿宋_GB2312" w:cs="仿宋_GB2312"/>
          <w:color w:val="000000"/>
          <w:kern w:val="32"/>
          <w:sz w:val="32"/>
          <w:szCs w:val="32"/>
          <w:shd w:val="clear" w:color="auto" w:fill="FFFFFF"/>
        </w:rPr>
        <w:t>制定工作方案，明确目标、任务和程序，积极做好部门协调、信息沟通、督查指导等工作，推进健康企业建设活动落实落地。同时，做好卫生与健康服务技术指导，开展职业病防治和职业健康有关工作，加强健康教育和健康知识普及。工业和信息化部门要发挥行业管理作用，促进企业积极参与。人力资源社会保障部门要加强宣传引导，推进企业做好工伤预防和劳动者的工伤保险。生态环境部门负责监督管理影响劳动者健康的生态环境问题；医保部门按规定做好医疗保障相关政策宣传等工作；工会要积极配合有关部门，宣传健康企业理念，促进健康文化，倡导劳动者积极参与，维护劳动者相关权益，建设和谐劳动关系；共青团、妇联要维护好团员、青年和妇女等劳动者的健康权益。</w:t>
      </w:r>
    </w:p>
    <w:p>
      <w:pPr>
        <w:widowControl w:val="0"/>
        <w:wordWrap/>
        <w:spacing w:line="520" w:lineRule="exact"/>
        <w:ind w:firstLine="640" w:firstLineChars="200"/>
        <w:textAlignment w:val="auto"/>
        <w:rPr>
          <w:rFonts w:ascii="宋体" w:hAnsi="宋体" w:eastAsia="仿宋_GB2312" w:cs="仿宋_GB2312"/>
          <w:color w:val="000000"/>
          <w:kern w:val="32"/>
          <w:sz w:val="32"/>
          <w:szCs w:val="32"/>
          <w:shd w:val="clear" w:color="auto" w:fill="FFFFFF"/>
        </w:rPr>
      </w:pPr>
      <w:r>
        <w:rPr>
          <w:rFonts w:hint="eastAsia" w:ascii="楷体_GB2312" w:hAnsi="宋体" w:eastAsia="楷体_GB2312" w:cs="仿宋_GB2312"/>
          <w:color w:val="000000"/>
          <w:kern w:val="32"/>
          <w:sz w:val="32"/>
          <w:szCs w:val="32"/>
          <w:shd w:val="clear" w:color="auto" w:fill="FFFFFF"/>
        </w:rPr>
        <w:t>（二）加大政策激励力度。</w:t>
      </w:r>
      <w:r>
        <w:rPr>
          <w:rFonts w:hint="eastAsia" w:ascii="宋体" w:hAnsi="宋体" w:eastAsia="仿宋_GB2312" w:cs="仿宋_GB2312"/>
          <w:color w:val="000000"/>
          <w:kern w:val="32"/>
          <w:sz w:val="32"/>
          <w:szCs w:val="32"/>
          <w:shd w:val="clear" w:color="auto" w:fill="FFFFFF"/>
        </w:rPr>
        <w:t>各地、各部门要将健康企业建设融入本地、本行业促进经济社会健康发展的相关政策之中，积极为健康企业在减负纾困、帮扶促进、评优评先、宣传推广等方面提供相应政策支持，在技改、奖补、科技研发等项目和经费安排上对健康企业给予倾斜和扶持，不断增强健康企业建设的积极性和主动性。</w:t>
      </w:r>
    </w:p>
    <w:p>
      <w:pPr>
        <w:widowControl w:val="0"/>
        <w:wordWrap/>
        <w:spacing w:line="520" w:lineRule="exact"/>
        <w:ind w:firstLine="640" w:firstLineChars="200"/>
        <w:textAlignment w:val="auto"/>
        <w:rPr>
          <w:rFonts w:ascii="宋体" w:hAnsi="宋体" w:eastAsia="仿宋_GB2312" w:cs="仿宋_GB2312"/>
          <w:color w:val="000000"/>
          <w:kern w:val="32"/>
          <w:sz w:val="32"/>
          <w:szCs w:val="32"/>
          <w:shd w:val="clear" w:color="auto" w:fill="FFFFFF"/>
        </w:rPr>
      </w:pPr>
      <w:r>
        <w:rPr>
          <w:rFonts w:hint="eastAsia" w:ascii="楷体_GB2312" w:hAnsi="宋体" w:eastAsia="楷体_GB2312" w:cs="仿宋_GB2312"/>
          <w:color w:val="000000"/>
          <w:kern w:val="32"/>
          <w:sz w:val="32"/>
          <w:szCs w:val="32"/>
          <w:shd w:val="clear" w:color="auto" w:fill="FFFFFF"/>
        </w:rPr>
        <w:t>（三）强化技术支撑。</w:t>
      </w:r>
      <w:r>
        <w:rPr>
          <w:rFonts w:hint="eastAsia" w:ascii="宋体" w:hAnsi="宋体" w:eastAsia="仿宋_GB2312" w:cs="仿宋_GB2312"/>
          <w:color w:val="000000"/>
          <w:kern w:val="32"/>
          <w:sz w:val="32"/>
          <w:szCs w:val="32"/>
          <w:shd w:val="clear" w:color="auto" w:fill="FFFFFF"/>
        </w:rPr>
        <w:t>吉林省职业病防治院为省级健康企业建设技术指导单位，成立省健康企业建设技术指导组，协助开展省级健康企业技术评审工作，为健康企业建设提供师资培训、评估验收、经验总结等专业技术指导和服务。各市（州）、县（市、区）要明确相应机构承担本地健康企业建设的技术指导工作，充分发挥疾控中心、专业技术机构、专家和行业协会作用，为不断提高健康企业建设质量提供技术保障。</w:t>
      </w:r>
    </w:p>
    <w:p>
      <w:pPr>
        <w:widowControl w:val="0"/>
        <w:wordWrap/>
        <w:spacing w:line="520" w:lineRule="exact"/>
        <w:ind w:firstLine="640" w:firstLineChars="200"/>
        <w:textAlignment w:val="auto"/>
        <w:rPr>
          <w:rFonts w:ascii="仿宋_GB2312" w:eastAsia="仿宋_GB2312"/>
          <w:color w:val="000000"/>
          <w:sz w:val="32"/>
          <w:szCs w:val="32"/>
        </w:rPr>
      </w:pPr>
      <w:r>
        <w:rPr>
          <w:rFonts w:hint="eastAsia" w:ascii="楷体_GB2312" w:hAnsi="楷体_GB2312" w:eastAsia="楷体_GB2312" w:cs="楷体_GB2312"/>
          <w:color w:val="000000"/>
          <w:sz w:val="32"/>
          <w:szCs w:val="32"/>
        </w:rPr>
        <w:t>（四）广泛宣教发动。</w:t>
      </w:r>
      <w:r>
        <w:rPr>
          <w:rFonts w:hint="eastAsia" w:ascii="仿宋_GB2312" w:eastAsia="仿宋_GB2312"/>
          <w:color w:val="000000"/>
          <w:sz w:val="32"/>
          <w:szCs w:val="32"/>
        </w:rPr>
        <w:t>各地各单位要充分利用各类资源，采取多种形式，把开展健康企业建设相关政策文件及时传达给所属各类企业，加强教育培训和政策宣传，引导企业深入了解和认识健康企业建设的重要意义、活动内容和激励政策。各地、各部门要积极主动对条件较好的企业做好培育、引导工作，可采取召开现场会、经验交流会、宣传上报好的典型事例等方式，形成</w:t>
      </w:r>
      <w:r>
        <w:rPr>
          <w:rFonts w:ascii="仿宋_GB2312" w:eastAsia="仿宋_GB2312"/>
          <w:color w:val="000000"/>
          <w:sz w:val="32"/>
          <w:szCs w:val="32"/>
        </w:rPr>
        <w:t>以点</w:t>
      </w:r>
      <w:r>
        <w:rPr>
          <w:rFonts w:hint="eastAsia" w:ascii="仿宋_GB2312" w:eastAsia="仿宋_GB2312"/>
          <w:color w:val="000000"/>
          <w:sz w:val="32"/>
          <w:szCs w:val="32"/>
        </w:rPr>
        <w:t>带面的辐射效应，推动全社会关心、关注、支持健康企业建设。省里将适时召开吉林省健康企业建设推进会，择优向国家相关部门及媒体推荐好的典型经验，充分发挥示范引领作用，积极促进全省健康企业建设蓬勃开展。</w:t>
      </w:r>
    </w:p>
    <w:p>
      <w:pPr>
        <w:widowControl w:val="0"/>
        <w:wordWrap/>
        <w:spacing w:line="520" w:lineRule="exact"/>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联系人：吉林省卫生健康委职业健康处 习品超 朱德春</w:t>
      </w:r>
    </w:p>
    <w:p>
      <w:pPr>
        <w:widowControl w:val="0"/>
        <w:wordWrap/>
        <w:spacing w:line="52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联系电话：0431-88906331</w:t>
      </w:r>
    </w:p>
    <w:p>
      <w:pPr>
        <w:widowControl w:val="0"/>
        <w:wordWrap/>
        <w:spacing w:line="52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邮</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箱：zyjk88906331@163.com</w:t>
      </w:r>
    </w:p>
    <w:p>
      <w:pPr>
        <w:widowControl w:val="0"/>
        <w:wordWrap/>
        <w:spacing w:line="52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省级健康企业建设技术指导组</w:t>
      </w:r>
      <w:r>
        <w:rPr>
          <w:rFonts w:hint="eastAsia" w:ascii="仿宋_GB2312" w:eastAsia="仿宋_GB2312"/>
          <w:color w:val="000000"/>
          <w:sz w:val="32"/>
          <w:szCs w:val="32"/>
        </w:rPr>
        <w:t>（省职业病防治院）</w:t>
      </w:r>
    </w:p>
    <w:p>
      <w:pPr>
        <w:widowControl w:val="0"/>
        <w:wordWrap/>
        <w:adjustRightInd w:val="0"/>
        <w:snapToGrid w:val="0"/>
        <w:spacing w:line="520" w:lineRule="exact"/>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联系人：张雯雯  联系电话：0431-85851</w:t>
      </w:r>
      <w:bookmarkStart w:id="2" w:name="_GoBack"/>
      <w:bookmarkEnd w:id="2"/>
      <w:r>
        <w:rPr>
          <w:rFonts w:hint="eastAsia" w:ascii="仿宋_GB2312" w:eastAsia="仿宋_GB2312"/>
          <w:color w:val="000000"/>
          <w:sz w:val="32"/>
          <w:szCs w:val="32"/>
        </w:rPr>
        <w:t>960</w:t>
      </w:r>
    </w:p>
    <w:p>
      <w:pPr>
        <w:widowControl w:val="0"/>
        <w:wordWrap/>
        <w:spacing w:line="520" w:lineRule="exact"/>
        <w:ind w:firstLine="640" w:firstLineChars="200"/>
        <w:textAlignment w:val="auto"/>
        <w:rPr>
          <w:rFonts w:hint="eastAsia" w:ascii="仿宋_GB2312" w:eastAsia="仿宋_GB2312"/>
          <w:color w:val="000000"/>
          <w:sz w:val="32"/>
          <w:szCs w:val="32"/>
        </w:rPr>
      </w:pPr>
    </w:p>
    <w:p>
      <w:pPr>
        <w:widowControl w:val="0"/>
        <w:wordWrap/>
        <w:spacing w:line="520" w:lineRule="exact"/>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附件：1．吉林省健康企业建设规范（试行）</w:t>
      </w:r>
    </w:p>
    <w:p>
      <w:pPr>
        <w:widowControl w:val="0"/>
        <w:wordWrap/>
        <w:spacing w:line="520" w:lineRule="exact"/>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2．吉林省健康企业申请表</w:t>
      </w:r>
    </w:p>
    <w:p>
      <w:pPr>
        <w:widowControl w:val="0"/>
        <w:wordWrap/>
        <w:spacing w:line="520" w:lineRule="exact"/>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3．吉林省健康企业建设承诺书</w:t>
      </w:r>
    </w:p>
    <w:p>
      <w:pPr>
        <w:widowControl w:val="0"/>
        <w:wordWrap/>
        <w:spacing w:line="520" w:lineRule="exact"/>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4．吉林省健康企业评估表</w:t>
      </w:r>
    </w:p>
    <w:p>
      <w:pPr>
        <w:widowControl w:val="0"/>
        <w:wordWrap/>
        <w:spacing w:line="520" w:lineRule="exact"/>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5．吉林省健康企业上报名单</w:t>
      </w:r>
    </w:p>
    <w:p>
      <w:pPr>
        <w:widowControl w:val="0"/>
        <w:wordWrap/>
        <w:spacing w:line="520" w:lineRule="exact"/>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6．各地区健康企业建设任务分配表(2022年)</w:t>
      </w:r>
    </w:p>
    <w:p>
      <w:pPr>
        <w:widowControl/>
        <w:spacing w:line="520" w:lineRule="exact"/>
        <w:jc w:val="left"/>
        <w:rPr>
          <w:rFonts w:hint="eastAsia" w:ascii="黑体" w:hAnsi="黑体" w:eastAsia="黑体"/>
          <w:bCs/>
          <w:color w:val="000000"/>
          <w:kern w:val="0"/>
          <w:sz w:val="32"/>
          <w:szCs w:val="32"/>
        </w:rPr>
      </w:pPr>
    </w:p>
    <w:p>
      <w:pPr>
        <w:widowControl/>
        <w:spacing w:line="520" w:lineRule="exact"/>
        <w:jc w:val="left"/>
        <w:rPr>
          <w:rFonts w:hint="eastAsia" w:ascii="黑体" w:hAnsi="黑体" w:eastAsia="黑体"/>
          <w:bCs/>
          <w:color w:val="000000"/>
          <w:kern w:val="0"/>
          <w:sz w:val="32"/>
          <w:szCs w:val="32"/>
        </w:rPr>
      </w:pPr>
    </w:p>
    <w:p>
      <w:pPr>
        <w:widowControl/>
        <w:spacing w:line="520" w:lineRule="exact"/>
        <w:jc w:val="left"/>
        <w:rPr>
          <w:rFonts w:hint="eastAsia" w:ascii="黑体" w:hAnsi="黑体" w:eastAsia="黑体"/>
          <w:bCs/>
          <w:color w:val="000000"/>
          <w:kern w:val="0"/>
          <w:sz w:val="32"/>
          <w:szCs w:val="32"/>
        </w:rPr>
      </w:pPr>
    </w:p>
    <w:p>
      <w:pPr>
        <w:widowControl/>
        <w:spacing w:line="520" w:lineRule="exact"/>
        <w:jc w:val="left"/>
        <w:rPr>
          <w:rFonts w:hint="eastAsia" w:ascii="黑体" w:hAnsi="黑体" w:eastAsia="黑体"/>
          <w:bCs/>
          <w:color w:val="000000"/>
          <w:kern w:val="0"/>
          <w:sz w:val="32"/>
          <w:szCs w:val="32"/>
        </w:rPr>
      </w:pPr>
    </w:p>
    <w:p>
      <w:pPr>
        <w:widowControl/>
        <w:spacing w:line="520" w:lineRule="exact"/>
        <w:jc w:val="left"/>
        <w:rPr>
          <w:rFonts w:hint="eastAsia" w:ascii="黑体" w:hAnsi="黑体" w:eastAsia="黑体"/>
          <w:bCs/>
          <w:color w:val="000000"/>
          <w:kern w:val="0"/>
          <w:sz w:val="32"/>
          <w:szCs w:val="32"/>
        </w:rPr>
      </w:pPr>
    </w:p>
    <w:p>
      <w:pPr>
        <w:widowControl/>
        <w:spacing w:line="520" w:lineRule="exact"/>
        <w:jc w:val="left"/>
        <w:rPr>
          <w:rFonts w:hint="eastAsia" w:ascii="黑体" w:hAnsi="黑体" w:eastAsia="黑体"/>
          <w:bCs/>
          <w:color w:val="000000"/>
          <w:kern w:val="0"/>
          <w:sz w:val="32"/>
          <w:szCs w:val="32"/>
        </w:rPr>
      </w:pPr>
    </w:p>
    <w:p>
      <w:pPr>
        <w:widowControl/>
        <w:spacing w:line="520" w:lineRule="exact"/>
        <w:jc w:val="left"/>
        <w:rPr>
          <w:rFonts w:hint="eastAsia" w:ascii="黑体" w:hAnsi="黑体" w:eastAsia="黑体"/>
          <w:bCs/>
          <w:color w:val="000000"/>
          <w:kern w:val="0"/>
          <w:sz w:val="32"/>
          <w:szCs w:val="32"/>
        </w:rPr>
      </w:pPr>
    </w:p>
    <w:p>
      <w:pPr>
        <w:widowControl/>
        <w:spacing w:line="520" w:lineRule="exact"/>
        <w:jc w:val="left"/>
        <w:rPr>
          <w:rFonts w:hint="eastAsia" w:ascii="黑体" w:hAnsi="黑体" w:eastAsia="黑体"/>
          <w:bCs/>
          <w:color w:val="000000"/>
          <w:kern w:val="0"/>
          <w:sz w:val="32"/>
          <w:szCs w:val="32"/>
        </w:rPr>
      </w:pPr>
    </w:p>
    <w:p>
      <w:pPr>
        <w:widowControl/>
        <w:spacing w:line="520" w:lineRule="exact"/>
        <w:jc w:val="left"/>
        <w:rPr>
          <w:rFonts w:hint="eastAsia" w:ascii="黑体" w:hAnsi="黑体" w:eastAsia="黑体"/>
          <w:bCs/>
          <w:color w:val="000000"/>
          <w:kern w:val="0"/>
          <w:sz w:val="32"/>
          <w:szCs w:val="32"/>
        </w:rPr>
      </w:pPr>
    </w:p>
    <w:p>
      <w:pPr>
        <w:widowControl/>
        <w:spacing w:line="520" w:lineRule="exact"/>
        <w:jc w:val="left"/>
        <w:rPr>
          <w:rFonts w:hint="eastAsia" w:ascii="黑体" w:hAnsi="黑体" w:eastAsia="黑体"/>
          <w:bCs/>
          <w:color w:val="000000"/>
          <w:kern w:val="0"/>
          <w:sz w:val="32"/>
          <w:szCs w:val="32"/>
        </w:rPr>
      </w:pPr>
    </w:p>
    <w:p>
      <w:pPr>
        <w:widowControl/>
        <w:spacing w:line="520" w:lineRule="exact"/>
        <w:jc w:val="left"/>
        <w:rPr>
          <w:rFonts w:hint="eastAsia" w:ascii="黑体" w:hAnsi="黑体" w:eastAsia="黑体"/>
          <w:bCs/>
          <w:color w:val="000000"/>
          <w:kern w:val="0"/>
          <w:sz w:val="32"/>
          <w:szCs w:val="32"/>
        </w:rPr>
      </w:pPr>
    </w:p>
    <w:p>
      <w:pPr>
        <w:widowControl/>
        <w:spacing w:line="520" w:lineRule="exact"/>
        <w:jc w:val="left"/>
        <w:rPr>
          <w:rFonts w:ascii="黑体" w:hAnsi="黑体" w:eastAsia="黑体"/>
          <w:color w:val="000000"/>
          <w:kern w:val="0"/>
          <w:sz w:val="32"/>
          <w:szCs w:val="32"/>
        </w:rPr>
      </w:pPr>
      <w:r>
        <w:rPr>
          <w:rFonts w:hint="eastAsia" w:ascii="黑体" w:hAnsi="黑体" w:eastAsia="黑体"/>
          <w:bCs/>
          <w:color w:val="000000"/>
          <w:kern w:val="0"/>
          <w:sz w:val="32"/>
          <w:szCs w:val="32"/>
        </w:rPr>
        <w:t>附件1</w:t>
      </w:r>
    </w:p>
    <w:p>
      <w:pPr>
        <w:wordWrap/>
        <w:adjustRightInd/>
        <w:snapToGrid/>
        <w:spacing w:line="520" w:lineRule="exact"/>
        <w:textAlignment w:val="auto"/>
        <w:rPr>
          <w:rFonts w:hint="eastAsia" w:ascii="仿宋_GB2312" w:hAnsi="宋体" w:eastAsia="仿宋_GB2312" w:cs="宋体"/>
          <w:color w:val="000000"/>
          <w:spacing w:val="0"/>
          <w:kern w:val="0"/>
          <w:sz w:val="32"/>
          <w:szCs w:val="32"/>
        </w:rPr>
      </w:pPr>
    </w:p>
    <w:p>
      <w:pPr>
        <w:wordWrap/>
        <w:adjustRightInd/>
        <w:snapToGrid/>
        <w:spacing w:line="520" w:lineRule="exact"/>
        <w:jc w:val="center"/>
        <w:textAlignment w:val="auto"/>
        <w:rPr>
          <w:rFonts w:hint="eastAsia" w:ascii="方正小标宋简体" w:hAnsi="方正小标宋简体" w:eastAsia="方正小标宋简体" w:cs="方正小标宋简体"/>
          <w:color w:val="000000"/>
          <w:spacing w:val="0"/>
          <w:kern w:val="0"/>
          <w:sz w:val="44"/>
          <w:szCs w:val="44"/>
        </w:rPr>
      </w:pPr>
      <w:r>
        <w:rPr>
          <w:rFonts w:hint="eastAsia" w:ascii="方正小标宋简体" w:hAnsi="方正小标宋简体" w:eastAsia="方正小标宋简体" w:cs="方正小标宋简体"/>
          <w:color w:val="000000"/>
          <w:spacing w:val="0"/>
          <w:kern w:val="0"/>
          <w:sz w:val="44"/>
          <w:szCs w:val="44"/>
        </w:rPr>
        <w:t>吉林省健康企业建设规范（试行）</w:t>
      </w:r>
    </w:p>
    <w:p>
      <w:pPr>
        <w:wordWrap/>
        <w:adjustRightInd/>
        <w:snapToGrid/>
        <w:spacing w:line="520" w:lineRule="exact"/>
        <w:ind w:firstLine="600"/>
        <w:textAlignment w:val="auto"/>
        <w:rPr>
          <w:rFonts w:hint="eastAsia" w:ascii="仿宋_GB2312" w:hAnsi="宋体" w:eastAsia="仿宋_GB2312" w:cs="宋体"/>
          <w:color w:val="000000"/>
          <w:spacing w:val="0"/>
          <w:kern w:val="0"/>
          <w:sz w:val="32"/>
          <w:szCs w:val="32"/>
        </w:rPr>
      </w:pPr>
    </w:p>
    <w:p>
      <w:pPr>
        <w:wordWrap/>
        <w:adjustRightInd/>
        <w:snapToGrid/>
        <w:spacing w:line="520" w:lineRule="exact"/>
        <w:ind w:firstLine="600"/>
        <w:textAlignment w:val="auto"/>
        <w:rPr>
          <w:rFonts w:hint="eastAsia" w:ascii="仿宋_GB2312" w:hAnsi="宋体" w:eastAsia="仿宋_GB2312" w:cs="宋体"/>
          <w:color w:val="000000"/>
          <w:spacing w:val="0"/>
          <w:kern w:val="0"/>
          <w:sz w:val="32"/>
          <w:szCs w:val="32"/>
        </w:rPr>
      </w:pPr>
      <w:r>
        <w:rPr>
          <w:rFonts w:hint="eastAsia" w:ascii="仿宋_GB2312" w:hAnsi="宋体" w:eastAsia="仿宋_GB2312" w:cs="宋体"/>
          <w:color w:val="000000"/>
          <w:spacing w:val="0"/>
          <w:kern w:val="0"/>
          <w:sz w:val="32"/>
          <w:szCs w:val="32"/>
        </w:rPr>
        <w:t>健康企业是健康“细胞”的重要组成之一，通过不断完善企业管理制度，有效改善企业环境，提升健康管理和服务水平，打造企业健康文化，满足企业员工健康需求，实现企业建设与人的健康协调发展。健康企业建设坚持党委政府领导、部门统筹协调、企业负责、专业机构指导、全员共建共享的指导方针，按照属地化管理、自愿参与的原则，面向全省各级各类企业开展。</w:t>
      </w:r>
    </w:p>
    <w:p>
      <w:pPr>
        <w:widowControl w:val="0"/>
        <w:wordWrap/>
        <w:adjustRightInd/>
        <w:snapToGrid/>
        <w:spacing w:beforeLines="50" w:afterLines="50" w:line="520" w:lineRule="exact"/>
        <w:jc w:val="center"/>
        <w:textAlignment w:val="auto"/>
        <w:rPr>
          <w:rFonts w:hint="eastAsia" w:ascii="方正黑体简体" w:hAnsi="方正黑体简体" w:eastAsia="方正黑体简体" w:cs="方正黑体简体"/>
          <w:b w:val="0"/>
          <w:bCs w:val="0"/>
          <w:color w:val="000000"/>
          <w:spacing w:val="0"/>
          <w:kern w:val="0"/>
          <w:sz w:val="32"/>
          <w:szCs w:val="32"/>
        </w:rPr>
      </w:pPr>
      <w:r>
        <w:rPr>
          <w:rFonts w:hint="eastAsia" w:ascii="方正黑体简体" w:hAnsi="方正黑体简体" w:eastAsia="方正黑体简体" w:cs="方正黑体简体"/>
          <w:b w:val="0"/>
          <w:bCs w:val="0"/>
          <w:color w:val="000000"/>
          <w:spacing w:val="0"/>
          <w:kern w:val="0"/>
          <w:sz w:val="32"/>
          <w:szCs w:val="32"/>
        </w:rPr>
        <w:t>第一章 建立健全管理制度</w:t>
      </w:r>
    </w:p>
    <w:p>
      <w:pPr>
        <w:wordWrap/>
        <w:adjustRightInd/>
        <w:snapToGrid/>
        <w:spacing w:line="520" w:lineRule="exact"/>
        <w:ind w:firstLine="600"/>
        <w:textAlignment w:val="auto"/>
        <w:rPr>
          <w:rFonts w:ascii="仿宋_GB2312" w:hAnsi="宋体" w:eastAsia="仿宋_GB2312" w:cs="宋体"/>
          <w:color w:val="000000"/>
          <w:spacing w:val="0"/>
          <w:kern w:val="0"/>
          <w:sz w:val="32"/>
          <w:szCs w:val="32"/>
        </w:rPr>
      </w:pPr>
      <w:r>
        <w:rPr>
          <w:rFonts w:hint="eastAsia" w:ascii="仿宋_GB2312" w:hAnsi="宋体" w:eastAsia="仿宋_GB2312" w:cs="宋体"/>
          <w:b/>
          <w:bCs/>
          <w:color w:val="000000"/>
          <w:spacing w:val="0"/>
          <w:kern w:val="0"/>
          <w:sz w:val="32"/>
          <w:szCs w:val="32"/>
        </w:rPr>
        <w:t>第一条</w:t>
      </w:r>
      <w:r>
        <w:rPr>
          <w:rFonts w:hint="eastAsia" w:ascii="仿宋_GB2312" w:hAnsi="宋体" w:eastAsia="仿宋_GB2312" w:cs="宋体"/>
          <w:color w:val="000000"/>
          <w:spacing w:val="0"/>
          <w:kern w:val="0"/>
          <w:sz w:val="32"/>
          <w:szCs w:val="32"/>
          <w:lang w:val="en-US" w:eastAsia="zh-CN"/>
        </w:rPr>
        <w:t xml:space="preserve"> </w:t>
      </w:r>
      <w:r>
        <w:rPr>
          <w:rFonts w:hint="eastAsia" w:ascii="仿宋_GB2312" w:hAnsi="宋体" w:eastAsia="仿宋_GB2312" w:cs="宋体"/>
          <w:color w:val="000000"/>
          <w:spacing w:val="0"/>
          <w:kern w:val="0"/>
          <w:sz w:val="32"/>
          <w:szCs w:val="32"/>
        </w:rPr>
        <w:t>企业成立健康企业建设工作领导小组。制定健康企业工作计划，明确部门职责并设专兼职人员负责健康企业建设工作。鼓励企业设立健康企业建设专项工作经费，专款专用。</w:t>
      </w:r>
    </w:p>
    <w:p>
      <w:pPr>
        <w:wordWrap/>
        <w:adjustRightInd/>
        <w:snapToGrid/>
        <w:spacing w:line="520" w:lineRule="exact"/>
        <w:ind w:firstLine="600"/>
        <w:textAlignment w:val="auto"/>
        <w:rPr>
          <w:rFonts w:ascii="仿宋_GB2312" w:hAnsi="宋体" w:eastAsia="仿宋_GB2312" w:cs="宋体"/>
          <w:color w:val="000000"/>
          <w:spacing w:val="0"/>
          <w:kern w:val="0"/>
          <w:sz w:val="32"/>
          <w:szCs w:val="32"/>
        </w:rPr>
      </w:pPr>
      <w:r>
        <w:rPr>
          <w:rFonts w:hint="eastAsia" w:ascii="仿宋_GB2312" w:hAnsi="宋体" w:eastAsia="仿宋_GB2312" w:cs="宋体"/>
          <w:b/>
          <w:bCs/>
          <w:color w:val="000000"/>
          <w:spacing w:val="0"/>
          <w:kern w:val="0"/>
          <w:sz w:val="32"/>
          <w:szCs w:val="32"/>
        </w:rPr>
        <w:t>第二条</w:t>
      </w:r>
      <w:r>
        <w:rPr>
          <w:rFonts w:hint="eastAsia" w:ascii="仿宋_GB2312" w:hAnsi="宋体" w:eastAsia="仿宋_GB2312" w:cs="宋体"/>
          <w:color w:val="000000"/>
          <w:spacing w:val="0"/>
          <w:kern w:val="0"/>
          <w:sz w:val="32"/>
          <w:szCs w:val="32"/>
          <w:lang w:val="en-US" w:eastAsia="zh-CN"/>
        </w:rPr>
        <w:t xml:space="preserve"> </w:t>
      </w:r>
      <w:r>
        <w:rPr>
          <w:rFonts w:hint="eastAsia" w:ascii="仿宋_GB2312" w:hAnsi="宋体" w:eastAsia="仿宋_GB2312" w:cs="宋体"/>
          <w:color w:val="000000"/>
          <w:spacing w:val="0"/>
          <w:kern w:val="0"/>
          <w:sz w:val="32"/>
          <w:szCs w:val="32"/>
        </w:rPr>
        <w:t>结合企业性质、作业内容、劳动者健康需求和健康影响因素等，建立完善与劳动者健康相关的各项规章制度，如劳动用工制度、职业病防治制度、建设项目职业病防护设施“三同时”管理制度、定期体检制度、健康促进与教育制度等。保障各项法律法规、标准规范的贯彻执行。</w:t>
      </w:r>
    </w:p>
    <w:p>
      <w:pPr>
        <w:wordWrap/>
        <w:adjustRightInd/>
        <w:snapToGrid/>
        <w:spacing w:line="520" w:lineRule="exact"/>
        <w:ind w:firstLine="600"/>
        <w:textAlignment w:val="auto"/>
        <w:rPr>
          <w:rFonts w:ascii="仿宋_GB2312" w:hAnsi="宋体" w:eastAsia="仿宋_GB2312" w:cs="宋体"/>
          <w:color w:val="000000"/>
          <w:spacing w:val="0"/>
          <w:kern w:val="0"/>
          <w:sz w:val="32"/>
          <w:szCs w:val="32"/>
        </w:rPr>
      </w:pPr>
      <w:r>
        <w:rPr>
          <w:rFonts w:hint="eastAsia" w:ascii="仿宋_GB2312" w:hAnsi="宋体" w:eastAsia="仿宋_GB2312" w:cs="宋体"/>
          <w:b/>
          <w:bCs/>
          <w:color w:val="000000"/>
          <w:spacing w:val="0"/>
          <w:kern w:val="0"/>
          <w:sz w:val="32"/>
          <w:szCs w:val="32"/>
        </w:rPr>
        <w:t>第三条</w:t>
      </w:r>
      <w:r>
        <w:rPr>
          <w:rFonts w:hint="eastAsia" w:ascii="仿宋_GB2312" w:hAnsi="宋体" w:eastAsia="仿宋_GB2312" w:cs="宋体"/>
          <w:color w:val="000000"/>
          <w:spacing w:val="0"/>
          <w:kern w:val="0"/>
          <w:sz w:val="32"/>
          <w:szCs w:val="32"/>
          <w:lang w:val="en-US" w:eastAsia="zh-CN"/>
        </w:rPr>
        <w:t xml:space="preserve"> </w:t>
      </w:r>
      <w:r>
        <w:rPr>
          <w:rFonts w:hint="eastAsia" w:ascii="仿宋_GB2312" w:hAnsi="宋体" w:eastAsia="仿宋_GB2312" w:cs="宋体"/>
          <w:color w:val="000000"/>
          <w:spacing w:val="0"/>
          <w:kern w:val="0"/>
          <w:sz w:val="32"/>
          <w:szCs w:val="32"/>
        </w:rPr>
        <w:t>规范企业劳动用工管理，依法与劳动者签订劳动合同、女职工权益保护专项集体合同，明确劳动条件、劳动保护和职业病危害防护措施等内容，按时足额缴纳工伤保险、医疗保险和生育保险费。</w:t>
      </w:r>
    </w:p>
    <w:p>
      <w:pPr>
        <w:wordWrap/>
        <w:adjustRightInd/>
        <w:snapToGrid/>
        <w:spacing w:line="520" w:lineRule="exact"/>
        <w:ind w:firstLine="600"/>
        <w:textAlignment w:val="auto"/>
        <w:rPr>
          <w:rFonts w:ascii="宋体" w:hAnsi="宋体" w:cs="宋体"/>
          <w:color w:val="000000"/>
          <w:spacing w:val="0"/>
          <w:kern w:val="0"/>
          <w:sz w:val="32"/>
          <w:szCs w:val="32"/>
        </w:rPr>
      </w:pPr>
      <w:r>
        <w:rPr>
          <w:rFonts w:hint="eastAsia" w:ascii="仿宋_GB2312" w:hAnsi="宋体" w:eastAsia="仿宋_GB2312" w:cs="宋体"/>
          <w:b/>
          <w:bCs/>
          <w:color w:val="000000"/>
          <w:spacing w:val="0"/>
          <w:kern w:val="0"/>
          <w:sz w:val="32"/>
          <w:szCs w:val="32"/>
        </w:rPr>
        <w:t>第四条</w:t>
      </w:r>
      <w:r>
        <w:rPr>
          <w:rFonts w:hint="eastAsia" w:ascii="仿宋_GB2312" w:hAnsi="宋体" w:eastAsia="仿宋_GB2312" w:cs="宋体"/>
          <w:color w:val="000000"/>
          <w:spacing w:val="0"/>
          <w:kern w:val="0"/>
          <w:sz w:val="32"/>
          <w:szCs w:val="32"/>
          <w:lang w:val="en-US" w:eastAsia="zh-CN"/>
        </w:rPr>
        <w:t xml:space="preserve"> </w:t>
      </w:r>
      <w:r>
        <w:rPr>
          <w:rFonts w:hint="eastAsia" w:ascii="仿宋_GB2312" w:hAnsi="宋体" w:eastAsia="仿宋_GB2312" w:cs="宋体"/>
          <w:color w:val="000000"/>
          <w:spacing w:val="0"/>
          <w:kern w:val="0"/>
          <w:sz w:val="32"/>
          <w:szCs w:val="32"/>
        </w:rPr>
        <w:t>完善政府、工会、企业共同参与的协商协调机制，构建和谐劳动关系。采取多种措施，发动员工积极参与健康企业建设。</w:t>
      </w:r>
    </w:p>
    <w:p>
      <w:pPr>
        <w:widowControl w:val="0"/>
        <w:wordWrap/>
        <w:adjustRightInd/>
        <w:snapToGrid/>
        <w:spacing w:beforeLines="50" w:afterLines="50" w:line="520" w:lineRule="exact"/>
        <w:jc w:val="center"/>
        <w:textAlignment w:val="auto"/>
        <w:rPr>
          <w:rFonts w:hint="eastAsia" w:ascii="方正黑体简体" w:hAnsi="方正黑体简体" w:eastAsia="方正黑体简体" w:cs="方正黑体简体"/>
          <w:b w:val="0"/>
          <w:bCs w:val="0"/>
          <w:color w:val="000000"/>
          <w:spacing w:val="0"/>
          <w:kern w:val="0"/>
          <w:sz w:val="32"/>
          <w:szCs w:val="32"/>
        </w:rPr>
      </w:pPr>
      <w:r>
        <w:rPr>
          <w:rFonts w:hint="eastAsia" w:ascii="方正黑体简体" w:hAnsi="方正黑体简体" w:eastAsia="方正黑体简体" w:cs="方正黑体简体"/>
          <w:b w:val="0"/>
          <w:bCs w:val="0"/>
          <w:color w:val="000000"/>
          <w:spacing w:val="0"/>
          <w:kern w:val="0"/>
          <w:sz w:val="32"/>
          <w:szCs w:val="32"/>
        </w:rPr>
        <w:t>第二章 建设健康环境</w:t>
      </w:r>
    </w:p>
    <w:p>
      <w:pPr>
        <w:wordWrap/>
        <w:adjustRightInd/>
        <w:snapToGrid/>
        <w:spacing w:line="520" w:lineRule="exact"/>
        <w:ind w:firstLine="600"/>
        <w:textAlignment w:val="auto"/>
        <w:rPr>
          <w:rFonts w:ascii="仿宋_GB2312" w:hAnsi="宋体" w:eastAsia="仿宋_GB2312" w:cs="宋体"/>
          <w:color w:val="000000"/>
          <w:spacing w:val="0"/>
          <w:kern w:val="0"/>
          <w:sz w:val="32"/>
          <w:szCs w:val="32"/>
        </w:rPr>
      </w:pPr>
      <w:r>
        <w:rPr>
          <w:rFonts w:hint="eastAsia" w:ascii="仿宋_GB2312" w:hAnsi="宋体" w:eastAsia="仿宋_GB2312" w:cs="宋体"/>
          <w:b/>
          <w:bCs/>
          <w:color w:val="000000"/>
          <w:spacing w:val="0"/>
          <w:kern w:val="0"/>
          <w:sz w:val="32"/>
          <w:szCs w:val="32"/>
        </w:rPr>
        <w:t>第五条</w:t>
      </w:r>
      <w:r>
        <w:rPr>
          <w:rFonts w:hint="eastAsia" w:ascii="仿宋_GB2312" w:hAnsi="宋体" w:eastAsia="仿宋_GB2312" w:cs="宋体"/>
          <w:color w:val="000000"/>
          <w:spacing w:val="0"/>
          <w:kern w:val="0"/>
          <w:sz w:val="32"/>
          <w:szCs w:val="32"/>
          <w:lang w:val="en-US" w:eastAsia="zh-CN"/>
        </w:rPr>
        <w:t xml:space="preserve"> </w:t>
      </w:r>
      <w:r>
        <w:rPr>
          <w:rFonts w:hint="eastAsia" w:ascii="仿宋_GB2312" w:hAnsi="宋体" w:eastAsia="仿宋_GB2312" w:cs="宋体"/>
          <w:color w:val="000000"/>
          <w:spacing w:val="0"/>
          <w:kern w:val="0"/>
          <w:sz w:val="32"/>
          <w:szCs w:val="32"/>
        </w:rPr>
        <w:t>完善企业基础设施，按照有关标准和要求，为劳动者提供布局合理、设施完善、整洁卫生、绿色环保、舒适优美和人性化的工作生产环境，无卫生死角。</w:t>
      </w:r>
    </w:p>
    <w:p>
      <w:pPr>
        <w:wordWrap/>
        <w:adjustRightInd/>
        <w:snapToGrid/>
        <w:spacing w:line="520" w:lineRule="exact"/>
        <w:ind w:firstLine="600"/>
        <w:textAlignment w:val="auto"/>
        <w:rPr>
          <w:rFonts w:ascii="仿宋_GB2312" w:hAnsi="宋体" w:eastAsia="仿宋_GB2312" w:cs="宋体"/>
          <w:color w:val="000000"/>
          <w:spacing w:val="0"/>
          <w:kern w:val="0"/>
          <w:sz w:val="32"/>
          <w:szCs w:val="32"/>
        </w:rPr>
      </w:pPr>
      <w:r>
        <w:rPr>
          <w:rFonts w:hint="eastAsia" w:ascii="仿宋_GB2312" w:hAnsi="宋体" w:eastAsia="仿宋_GB2312" w:cs="宋体"/>
          <w:b/>
          <w:bCs/>
          <w:color w:val="000000"/>
          <w:spacing w:val="0"/>
          <w:kern w:val="0"/>
          <w:sz w:val="32"/>
          <w:szCs w:val="32"/>
        </w:rPr>
        <w:t>第六条</w:t>
      </w:r>
      <w:r>
        <w:rPr>
          <w:rFonts w:hint="eastAsia" w:ascii="仿宋_GB2312" w:hAnsi="宋体" w:eastAsia="仿宋_GB2312" w:cs="宋体"/>
          <w:color w:val="000000"/>
          <w:spacing w:val="0"/>
          <w:kern w:val="0"/>
          <w:sz w:val="32"/>
          <w:szCs w:val="32"/>
          <w:lang w:val="en-US" w:eastAsia="zh-CN"/>
        </w:rPr>
        <w:t xml:space="preserve"> </w:t>
      </w:r>
      <w:r>
        <w:rPr>
          <w:rFonts w:hint="eastAsia" w:ascii="仿宋_GB2312" w:hAnsi="宋体" w:eastAsia="仿宋_GB2312" w:cs="宋体"/>
          <w:color w:val="000000"/>
          <w:spacing w:val="0"/>
          <w:kern w:val="0"/>
          <w:sz w:val="32"/>
          <w:szCs w:val="32"/>
        </w:rPr>
        <w:t>废气、废水、固体废物排放和贮存、运输、处理符合国家、地方相关标准和要求。</w:t>
      </w:r>
    </w:p>
    <w:p>
      <w:pPr>
        <w:wordWrap/>
        <w:adjustRightInd/>
        <w:snapToGrid/>
        <w:spacing w:line="520" w:lineRule="exact"/>
        <w:ind w:firstLine="600"/>
        <w:textAlignment w:val="auto"/>
        <w:rPr>
          <w:rFonts w:ascii="仿宋_GB2312" w:hAnsi="宋体" w:eastAsia="仿宋_GB2312" w:cs="宋体"/>
          <w:color w:val="000000"/>
          <w:spacing w:val="0"/>
          <w:kern w:val="0"/>
          <w:sz w:val="32"/>
          <w:szCs w:val="32"/>
        </w:rPr>
      </w:pPr>
      <w:r>
        <w:rPr>
          <w:rFonts w:hint="eastAsia" w:ascii="仿宋_GB2312" w:hAnsi="宋体" w:eastAsia="仿宋_GB2312" w:cs="宋体"/>
          <w:b/>
          <w:bCs/>
          <w:color w:val="000000"/>
          <w:spacing w:val="0"/>
          <w:kern w:val="0"/>
          <w:sz w:val="32"/>
          <w:szCs w:val="32"/>
        </w:rPr>
        <w:t>第七条</w:t>
      </w:r>
      <w:r>
        <w:rPr>
          <w:rFonts w:hint="eastAsia" w:ascii="仿宋_GB2312" w:hAnsi="宋体" w:eastAsia="仿宋_GB2312" w:cs="宋体"/>
          <w:color w:val="000000"/>
          <w:spacing w:val="0"/>
          <w:kern w:val="0"/>
          <w:sz w:val="32"/>
          <w:szCs w:val="32"/>
          <w:lang w:val="en-US" w:eastAsia="zh-CN"/>
        </w:rPr>
        <w:t xml:space="preserve"> </w:t>
      </w:r>
      <w:r>
        <w:rPr>
          <w:rFonts w:hint="eastAsia" w:ascii="仿宋_GB2312" w:hAnsi="宋体" w:eastAsia="仿宋_GB2312" w:cs="宋体"/>
          <w:color w:val="000000"/>
          <w:spacing w:val="0"/>
          <w:kern w:val="0"/>
          <w:sz w:val="32"/>
          <w:szCs w:val="32"/>
        </w:rPr>
        <w:t>开展病媒生物防制，鼠、蚊、蝇、蟑螂等病媒生物密度得到有效控制，符合国家卫生标准和要求。</w:t>
      </w:r>
    </w:p>
    <w:p>
      <w:pPr>
        <w:wordWrap/>
        <w:adjustRightInd/>
        <w:snapToGrid/>
        <w:spacing w:line="520" w:lineRule="exact"/>
        <w:ind w:firstLine="600"/>
        <w:textAlignment w:val="auto"/>
        <w:rPr>
          <w:rFonts w:ascii="仿宋_GB2312" w:hAnsi="宋体" w:eastAsia="仿宋_GB2312" w:cs="宋体"/>
          <w:color w:val="000000"/>
          <w:spacing w:val="0"/>
          <w:kern w:val="0"/>
          <w:sz w:val="32"/>
          <w:szCs w:val="32"/>
        </w:rPr>
      </w:pPr>
      <w:r>
        <w:rPr>
          <w:rFonts w:hint="eastAsia" w:ascii="仿宋_GB2312" w:hAnsi="宋体" w:eastAsia="仿宋_GB2312" w:cs="宋体"/>
          <w:b/>
          <w:bCs/>
          <w:color w:val="000000"/>
          <w:spacing w:val="0"/>
          <w:kern w:val="0"/>
          <w:sz w:val="32"/>
          <w:szCs w:val="32"/>
        </w:rPr>
        <w:t>第八条</w:t>
      </w:r>
      <w:r>
        <w:rPr>
          <w:rFonts w:hint="eastAsia" w:ascii="仿宋_GB2312" w:hAnsi="宋体" w:eastAsia="仿宋_GB2312" w:cs="宋体"/>
          <w:b/>
          <w:bCs/>
          <w:color w:val="000000"/>
          <w:spacing w:val="0"/>
          <w:kern w:val="0"/>
          <w:sz w:val="32"/>
          <w:szCs w:val="32"/>
          <w:lang w:val="en-US" w:eastAsia="zh-CN"/>
        </w:rPr>
        <w:t xml:space="preserve"> </w:t>
      </w:r>
      <w:r>
        <w:rPr>
          <w:rFonts w:hint="eastAsia" w:ascii="仿宋_GB2312" w:hAnsi="宋体" w:eastAsia="仿宋_GB2312" w:cs="宋体"/>
          <w:color w:val="000000"/>
          <w:spacing w:val="0"/>
          <w:kern w:val="0"/>
          <w:sz w:val="32"/>
          <w:szCs w:val="32"/>
        </w:rPr>
        <w:t>工作及作业环境、设备设施应当符合工效学要求和健康需求。工作场所采光、照明、通风、保温、隔热、隔声、污染物控制等方面符合国家、地方相关标准和要求。</w:t>
      </w:r>
    </w:p>
    <w:p>
      <w:pPr>
        <w:wordWrap/>
        <w:adjustRightInd/>
        <w:snapToGrid/>
        <w:spacing w:line="520" w:lineRule="exact"/>
        <w:ind w:firstLine="600"/>
        <w:textAlignment w:val="auto"/>
        <w:rPr>
          <w:rFonts w:ascii="仿宋_GB2312" w:hAnsi="宋体" w:eastAsia="仿宋_GB2312" w:cs="宋体"/>
          <w:color w:val="000000"/>
          <w:spacing w:val="0"/>
          <w:kern w:val="0"/>
          <w:sz w:val="32"/>
          <w:szCs w:val="32"/>
        </w:rPr>
      </w:pPr>
      <w:r>
        <w:rPr>
          <w:rFonts w:hint="eastAsia" w:ascii="仿宋_GB2312" w:hAnsi="宋体" w:eastAsia="仿宋_GB2312" w:cs="宋体"/>
          <w:b/>
          <w:bCs/>
          <w:color w:val="000000"/>
          <w:spacing w:val="0"/>
          <w:kern w:val="0"/>
          <w:sz w:val="32"/>
          <w:szCs w:val="32"/>
        </w:rPr>
        <w:t>第九条</w:t>
      </w:r>
      <w:r>
        <w:rPr>
          <w:rFonts w:hint="eastAsia" w:ascii="仿宋_GB2312" w:hAnsi="宋体" w:eastAsia="仿宋_GB2312" w:cs="宋体"/>
          <w:color w:val="000000"/>
          <w:spacing w:val="0"/>
          <w:kern w:val="0"/>
          <w:sz w:val="32"/>
          <w:szCs w:val="32"/>
          <w:lang w:val="en-US" w:eastAsia="zh-CN"/>
        </w:rPr>
        <w:t xml:space="preserve"> </w:t>
      </w:r>
      <w:r>
        <w:rPr>
          <w:rFonts w:hint="eastAsia" w:ascii="仿宋_GB2312" w:hAnsi="宋体" w:eastAsia="仿宋_GB2312" w:cs="宋体"/>
          <w:color w:val="000000"/>
          <w:spacing w:val="0"/>
          <w:kern w:val="0"/>
          <w:sz w:val="32"/>
          <w:szCs w:val="32"/>
        </w:rPr>
        <w:t>全面开展控烟工作，打造无烟环境。积极推动室内工作场所及公共场所等全面禁烟，设置显著标识，企业内无烟草广告和促销。</w:t>
      </w:r>
    </w:p>
    <w:p>
      <w:pPr>
        <w:wordWrap/>
        <w:adjustRightInd/>
        <w:snapToGrid/>
        <w:spacing w:line="520" w:lineRule="exact"/>
        <w:ind w:firstLine="600"/>
        <w:textAlignment w:val="auto"/>
        <w:rPr>
          <w:rFonts w:ascii="仿宋_GB2312" w:hAnsi="宋体" w:eastAsia="仿宋_GB2312" w:cs="宋体"/>
          <w:color w:val="000000"/>
          <w:spacing w:val="0"/>
          <w:kern w:val="0"/>
          <w:sz w:val="32"/>
          <w:szCs w:val="32"/>
        </w:rPr>
      </w:pPr>
      <w:r>
        <w:rPr>
          <w:rFonts w:hint="eastAsia" w:ascii="仿宋_GB2312" w:hAnsi="宋体" w:eastAsia="仿宋_GB2312" w:cs="宋体"/>
          <w:b/>
          <w:bCs/>
          <w:color w:val="000000"/>
          <w:spacing w:val="0"/>
          <w:kern w:val="0"/>
          <w:sz w:val="32"/>
          <w:szCs w:val="32"/>
        </w:rPr>
        <w:t>第十条</w:t>
      </w:r>
      <w:r>
        <w:rPr>
          <w:rFonts w:hint="eastAsia" w:ascii="仿宋_GB2312" w:hAnsi="宋体" w:eastAsia="仿宋_GB2312" w:cs="宋体"/>
          <w:color w:val="000000"/>
          <w:spacing w:val="0"/>
          <w:kern w:val="0"/>
          <w:sz w:val="32"/>
          <w:szCs w:val="32"/>
          <w:lang w:val="en-US" w:eastAsia="zh-CN"/>
        </w:rPr>
        <w:t xml:space="preserve"> </w:t>
      </w:r>
      <w:r>
        <w:rPr>
          <w:rFonts w:hint="eastAsia" w:ascii="仿宋_GB2312" w:hAnsi="宋体" w:eastAsia="仿宋_GB2312" w:cs="宋体"/>
          <w:color w:val="000000"/>
          <w:spacing w:val="0"/>
          <w:kern w:val="0"/>
          <w:sz w:val="32"/>
          <w:szCs w:val="32"/>
        </w:rPr>
        <w:t>加强水质卫生管理，确保生活饮用水安全。</w:t>
      </w:r>
    </w:p>
    <w:p>
      <w:pPr>
        <w:wordWrap/>
        <w:adjustRightInd/>
        <w:snapToGrid/>
        <w:spacing w:line="520" w:lineRule="exact"/>
        <w:ind w:firstLine="600"/>
        <w:textAlignment w:val="auto"/>
        <w:rPr>
          <w:rFonts w:ascii="仿宋_GB2312" w:hAnsi="宋体" w:eastAsia="仿宋_GB2312" w:cs="宋体"/>
          <w:color w:val="000000"/>
          <w:spacing w:val="0"/>
          <w:kern w:val="0"/>
          <w:sz w:val="32"/>
          <w:szCs w:val="32"/>
        </w:rPr>
      </w:pPr>
      <w:r>
        <w:rPr>
          <w:rFonts w:hint="eastAsia" w:ascii="仿宋_GB2312" w:hAnsi="宋体" w:eastAsia="仿宋_GB2312" w:cs="宋体"/>
          <w:b/>
          <w:bCs/>
          <w:color w:val="000000"/>
          <w:spacing w:val="0"/>
          <w:kern w:val="0"/>
          <w:sz w:val="32"/>
          <w:szCs w:val="32"/>
        </w:rPr>
        <w:t>第十一条</w:t>
      </w:r>
      <w:r>
        <w:rPr>
          <w:rFonts w:hint="eastAsia" w:ascii="仿宋_GB2312" w:hAnsi="宋体" w:eastAsia="仿宋_GB2312" w:cs="宋体"/>
          <w:color w:val="000000"/>
          <w:spacing w:val="0"/>
          <w:kern w:val="0"/>
          <w:sz w:val="32"/>
          <w:szCs w:val="32"/>
          <w:lang w:val="en-US" w:eastAsia="zh-CN"/>
        </w:rPr>
        <w:t xml:space="preserve"> </w:t>
      </w:r>
      <w:r>
        <w:rPr>
          <w:rFonts w:hint="eastAsia" w:ascii="仿宋_GB2312" w:hAnsi="宋体" w:eastAsia="仿宋_GB2312" w:cs="宋体"/>
          <w:color w:val="000000"/>
          <w:spacing w:val="0"/>
          <w:kern w:val="0"/>
          <w:sz w:val="32"/>
          <w:szCs w:val="32"/>
        </w:rPr>
        <w:t>企业内部设置的食堂应当符合《食品安全法》相关规定要求，达到食品安全管理等级B级以上；未设置食堂的，就餐场所不能与存在职业性有害因素的工作场所相毗邻，并应当设置足够数量的洗手设施。</w:t>
      </w:r>
    </w:p>
    <w:p>
      <w:pPr>
        <w:wordWrap/>
        <w:adjustRightInd/>
        <w:snapToGrid/>
        <w:spacing w:line="520" w:lineRule="exact"/>
        <w:ind w:firstLine="600"/>
        <w:textAlignment w:val="auto"/>
        <w:rPr>
          <w:rFonts w:ascii="仿宋_GB2312" w:hAnsi="宋体" w:eastAsia="仿宋_GB2312" w:cs="宋体"/>
          <w:color w:val="000000"/>
          <w:spacing w:val="0"/>
          <w:kern w:val="0"/>
          <w:sz w:val="32"/>
          <w:szCs w:val="32"/>
        </w:rPr>
      </w:pPr>
      <w:r>
        <w:rPr>
          <w:rFonts w:hint="eastAsia" w:ascii="仿宋_GB2312" w:hAnsi="宋体" w:eastAsia="仿宋_GB2312" w:cs="宋体"/>
          <w:b/>
          <w:bCs/>
          <w:color w:val="000000"/>
          <w:spacing w:val="0"/>
          <w:kern w:val="0"/>
          <w:sz w:val="32"/>
          <w:szCs w:val="32"/>
        </w:rPr>
        <w:t>第十二条</w:t>
      </w:r>
      <w:r>
        <w:rPr>
          <w:rFonts w:hint="eastAsia" w:ascii="仿宋_GB2312" w:hAnsi="宋体" w:eastAsia="仿宋_GB2312" w:cs="宋体"/>
          <w:color w:val="000000"/>
          <w:spacing w:val="0"/>
          <w:kern w:val="0"/>
          <w:sz w:val="32"/>
          <w:szCs w:val="32"/>
          <w:lang w:val="en-US" w:eastAsia="zh-CN"/>
        </w:rPr>
        <w:t xml:space="preserve"> </w:t>
      </w:r>
      <w:r>
        <w:rPr>
          <w:rFonts w:hint="eastAsia" w:ascii="仿宋_GB2312" w:hAnsi="宋体" w:eastAsia="仿宋_GB2312" w:cs="宋体"/>
          <w:color w:val="000000"/>
          <w:spacing w:val="0"/>
          <w:kern w:val="0"/>
          <w:sz w:val="32"/>
          <w:szCs w:val="32"/>
        </w:rPr>
        <w:t>厕所设置布局合理、管理规范、干净整洁。</w:t>
      </w:r>
    </w:p>
    <w:p>
      <w:pPr>
        <w:wordWrap/>
        <w:adjustRightInd/>
        <w:snapToGrid/>
        <w:spacing w:line="520" w:lineRule="exact"/>
        <w:ind w:firstLine="600"/>
        <w:textAlignment w:val="auto"/>
        <w:rPr>
          <w:rFonts w:ascii="宋体" w:hAnsi="宋体" w:cs="宋体"/>
          <w:color w:val="000000"/>
          <w:spacing w:val="0"/>
          <w:kern w:val="0"/>
          <w:sz w:val="32"/>
          <w:szCs w:val="32"/>
        </w:rPr>
      </w:pPr>
      <w:r>
        <w:rPr>
          <w:rFonts w:hint="eastAsia" w:ascii="仿宋_GB2312" w:hAnsi="宋体" w:eastAsia="仿宋_GB2312" w:cs="宋体"/>
          <w:b/>
          <w:bCs/>
          <w:color w:val="000000"/>
          <w:spacing w:val="0"/>
          <w:kern w:val="0"/>
          <w:sz w:val="32"/>
          <w:szCs w:val="32"/>
        </w:rPr>
        <w:t>第十三条</w:t>
      </w:r>
      <w:r>
        <w:rPr>
          <w:rFonts w:hint="eastAsia" w:ascii="仿宋_GB2312" w:hAnsi="宋体" w:eastAsia="仿宋_GB2312" w:cs="宋体"/>
          <w:color w:val="000000"/>
          <w:spacing w:val="0"/>
          <w:kern w:val="0"/>
          <w:sz w:val="32"/>
          <w:szCs w:val="32"/>
          <w:lang w:val="en-US" w:eastAsia="zh-CN"/>
        </w:rPr>
        <w:t xml:space="preserve"> </w:t>
      </w:r>
      <w:r>
        <w:rPr>
          <w:rFonts w:hint="eastAsia" w:ascii="仿宋_GB2312" w:hAnsi="宋体" w:eastAsia="仿宋_GB2312" w:cs="宋体"/>
          <w:color w:val="000000"/>
          <w:spacing w:val="0"/>
          <w:kern w:val="0"/>
          <w:sz w:val="32"/>
          <w:szCs w:val="32"/>
        </w:rPr>
        <w:t>落实建设项目职业病防护设施“三同时”（同时设计、同时施工、同时投入生产和使用）制度，做好职业病危害预评价、职业病防护设施设计、职业病危害控制效果评价及竣工验收。</w:t>
      </w:r>
    </w:p>
    <w:p>
      <w:pPr>
        <w:widowControl w:val="0"/>
        <w:wordWrap/>
        <w:adjustRightInd/>
        <w:snapToGrid/>
        <w:spacing w:beforeLines="50" w:afterLines="50" w:line="520" w:lineRule="exact"/>
        <w:jc w:val="center"/>
        <w:textAlignment w:val="auto"/>
        <w:rPr>
          <w:rFonts w:hint="eastAsia" w:ascii="方正黑体简体" w:hAnsi="方正黑体简体" w:eastAsia="方正黑体简体" w:cs="方正黑体简体"/>
          <w:b w:val="0"/>
          <w:bCs w:val="0"/>
          <w:color w:val="000000"/>
          <w:spacing w:val="0"/>
          <w:kern w:val="0"/>
          <w:sz w:val="32"/>
          <w:szCs w:val="32"/>
        </w:rPr>
      </w:pPr>
      <w:r>
        <w:rPr>
          <w:rFonts w:hint="eastAsia" w:ascii="方正黑体简体" w:hAnsi="方正黑体简体" w:eastAsia="方正黑体简体" w:cs="方正黑体简体"/>
          <w:b w:val="0"/>
          <w:bCs w:val="0"/>
          <w:color w:val="000000"/>
          <w:spacing w:val="0"/>
          <w:kern w:val="0"/>
          <w:sz w:val="32"/>
          <w:szCs w:val="32"/>
        </w:rPr>
        <w:t>第三章 提供健康管理与服务第</w:t>
      </w:r>
    </w:p>
    <w:p>
      <w:pPr>
        <w:wordWrap/>
        <w:adjustRightInd/>
        <w:snapToGrid/>
        <w:spacing w:line="520" w:lineRule="exact"/>
        <w:ind w:firstLine="600"/>
        <w:textAlignment w:val="auto"/>
        <w:rPr>
          <w:rFonts w:ascii="仿宋_GB2312" w:hAnsi="宋体" w:eastAsia="仿宋_GB2312" w:cs="宋体"/>
          <w:color w:val="000000"/>
          <w:spacing w:val="0"/>
          <w:kern w:val="0"/>
          <w:sz w:val="32"/>
          <w:szCs w:val="32"/>
        </w:rPr>
      </w:pPr>
      <w:r>
        <w:rPr>
          <w:rFonts w:hint="eastAsia" w:ascii="仿宋_GB2312" w:hAnsi="宋体" w:eastAsia="仿宋_GB2312" w:cs="宋体"/>
          <w:b/>
          <w:bCs/>
          <w:color w:val="000000"/>
          <w:spacing w:val="0"/>
          <w:kern w:val="0"/>
          <w:sz w:val="32"/>
          <w:szCs w:val="32"/>
        </w:rPr>
        <w:t>十四条</w:t>
      </w:r>
      <w:r>
        <w:rPr>
          <w:rFonts w:hint="eastAsia" w:ascii="仿宋_GB2312" w:hAnsi="宋体" w:eastAsia="仿宋_GB2312" w:cs="宋体"/>
          <w:color w:val="000000"/>
          <w:spacing w:val="0"/>
          <w:kern w:val="0"/>
          <w:sz w:val="32"/>
          <w:szCs w:val="32"/>
        </w:rPr>
        <w:t> 鼓励依据有关标准设立医务室、紧急救援站等，配备急救箱等设备。企业要为员工提供免费测量血压、体重、腰围等健康指标的场所和设施。</w:t>
      </w:r>
    </w:p>
    <w:p>
      <w:pPr>
        <w:wordWrap/>
        <w:adjustRightInd/>
        <w:snapToGrid/>
        <w:spacing w:line="520" w:lineRule="exact"/>
        <w:ind w:firstLine="600"/>
        <w:textAlignment w:val="auto"/>
        <w:rPr>
          <w:rFonts w:ascii="仿宋_GB2312" w:hAnsi="宋体" w:eastAsia="仿宋_GB2312" w:cs="宋体"/>
          <w:color w:val="000000"/>
          <w:spacing w:val="0"/>
          <w:kern w:val="0"/>
          <w:sz w:val="32"/>
          <w:szCs w:val="32"/>
        </w:rPr>
      </w:pPr>
      <w:r>
        <w:rPr>
          <w:rFonts w:hint="eastAsia" w:ascii="仿宋_GB2312" w:hAnsi="宋体" w:eastAsia="仿宋_GB2312" w:cs="宋体"/>
          <w:b/>
          <w:bCs/>
          <w:color w:val="000000"/>
          <w:spacing w:val="0"/>
          <w:kern w:val="0"/>
          <w:sz w:val="32"/>
          <w:szCs w:val="32"/>
        </w:rPr>
        <w:t>第十五条</w:t>
      </w:r>
      <w:r>
        <w:rPr>
          <w:rFonts w:hint="eastAsia" w:ascii="仿宋_GB2312" w:hAnsi="宋体" w:eastAsia="仿宋_GB2312" w:cs="宋体"/>
          <w:color w:val="000000"/>
          <w:spacing w:val="0"/>
          <w:kern w:val="0"/>
          <w:sz w:val="32"/>
          <w:szCs w:val="32"/>
        </w:rPr>
        <w:t> 建立企业全员健康管理服务体系，建立健康检查制度，制定员工年度健康检查计划，建立员工健康档案。设立健康指导人员或委托属地医疗卫生机构开展员工健康评估。</w:t>
      </w:r>
    </w:p>
    <w:p>
      <w:pPr>
        <w:wordWrap/>
        <w:adjustRightInd/>
        <w:snapToGrid/>
        <w:spacing w:line="520" w:lineRule="exact"/>
        <w:ind w:firstLine="600"/>
        <w:textAlignment w:val="auto"/>
        <w:rPr>
          <w:rFonts w:ascii="仿宋_GB2312" w:hAnsi="宋体" w:eastAsia="仿宋_GB2312" w:cs="宋体"/>
          <w:color w:val="000000"/>
          <w:spacing w:val="0"/>
          <w:kern w:val="0"/>
          <w:sz w:val="32"/>
          <w:szCs w:val="32"/>
        </w:rPr>
      </w:pPr>
      <w:r>
        <w:rPr>
          <w:rFonts w:hint="eastAsia" w:ascii="仿宋_GB2312" w:hAnsi="宋体" w:eastAsia="仿宋_GB2312" w:cs="宋体"/>
          <w:b/>
          <w:bCs/>
          <w:color w:val="000000"/>
          <w:spacing w:val="0"/>
          <w:kern w:val="0"/>
          <w:sz w:val="32"/>
          <w:szCs w:val="32"/>
        </w:rPr>
        <w:t>第十六条</w:t>
      </w:r>
      <w:r>
        <w:rPr>
          <w:rFonts w:hint="eastAsia" w:ascii="仿宋_GB2312" w:hAnsi="宋体" w:eastAsia="仿宋_GB2312" w:cs="宋体"/>
          <w:color w:val="000000"/>
          <w:spacing w:val="0"/>
          <w:kern w:val="0"/>
          <w:sz w:val="32"/>
          <w:szCs w:val="32"/>
        </w:rPr>
        <w:t> 根据健康评估结果，实施人群分类健康管理和指导，降低职业病及肥胖、高血压、糖尿病、高脂血症等慢性病患病风险。</w:t>
      </w:r>
    </w:p>
    <w:p>
      <w:pPr>
        <w:wordWrap/>
        <w:adjustRightInd/>
        <w:snapToGrid/>
        <w:spacing w:line="520" w:lineRule="exact"/>
        <w:ind w:firstLine="600"/>
        <w:textAlignment w:val="auto"/>
        <w:rPr>
          <w:rFonts w:ascii="仿宋_GB2312" w:hAnsi="宋体" w:eastAsia="仿宋_GB2312" w:cs="宋体"/>
          <w:color w:val="000000"/>
          <w:spacing w:val="0"/>
          <w:kern w:val="0"/>
          <w:sz w:val="32"/>
          <w:szCs w:val="32"/>
        </w:rPr>
      </w:pPr>
      <w:r>
        <w:rPr>
          <w:rFonts w:hint="eastAsia" w:ascii="仿宋_GB2312" w:hAnsi="宋体" w:eastAsia="仿宋_GB2312" w:cs="宋体"/>
          <w:b/>
          <w:bCs/>
          <w:color w:val="000000"/>
          <w:spacing w:val="0"/>
          <w:kern w:val="0"/>
          <w:sz w:val="32"/>
          <w:szCs w:val="32"/>
        </w:rPr>
        <w:t>第十七条</w:t>
      </w:r>
      <w:r>
        <w:rPr>
          <w:rFonts w:hint="eastAsia" w:ascii="仿宋_GB2312" w:hAnsi="宋体" w:eastAsia="仿宋_GB2312" w:cs="宋体"/>
          <w:color w:val="000000"/>
          <w:spacing w:val="0"/>
          <w:kern w:val="0"/>
          <w:sz w:val="32"/>
          <w:szCs w:val="32"/>
          <w:lang w:val="en-US" w:eastAsia="zh-CN"/>
        </w:rPr>
        <w:t xml:space="preserve"> </w:t>
      </w:r>
      <w:r>
        <w:rPr>
          <w:rFonts w:hint="eastAsia" w:ascii="仿宋_GB2312" w:hAnsi="宋体" w:eastAsia="仿宋_GB2312" w:cs="宋体"/>
          <w:color w:val="000000"/>
          <w:spacing w:val="0"/>
          <w:kern w:val="0"/>
          <w:sz w:val="32"/>
          <w:szCs w:val="32"/>
        </w:rPr>
        <w:t>制订防控传染病、食源性疾病等健康危害事件的应急预案，采取切实可行措施，防止疾病传播流行。</w:t>
      </w:r>
    </w:p>
    <w:p>
      <w:pPr>
        <w:wordWrap/>
        <w:adjustRightInd/>
        <w:snapToGrid/>
        <w:spacing w:line="520" w:lineRule="exact"/>
        <w:ind w:firstLine="600"/>
        <w:textAlignment w:val="auto"/>
        <w:rPr>
          <w:rFonts w:ascii="仿宋_GB2312" w:hAnsi="宋体" w:eastAsia="仿宋_GB2312" w:cs="宋体"/>
          <w:color w:val="000000"/>
          <w:spacing w:val="0"/>
          <w:kern w:val="0"/>
          <w:sz w:val="32"/>
          <w:szCs w:val="32"/>
        </w:rPr>
      </w:pPr>
      <w:r>
        <w:rPr>
          <w:rFonts w:hint="eastAsia" w:ascii="仿宋_GB2312" w:hAnsi="宋体" w:eastAsia="仿宋_GB2312" w:cs="宋体"/>
          <w:b/>
          <w:bCs/>
          <w:color w:val="000000"/>
          <w:spacing w:val="0"/>
          <w:kern w:val="0"/>
          <w:sz w:val="32"/>
          <w:szCs w:val="32"/>
        </w:rPr>
        <w:t>第十八条</w:t>
      </w:r>
      <w:r>
        <w:rPr>
          <w:rFonts w:hint="eastAsia" w:ascii="仿宋_GB2312" w:hAnsi="宋体" w:eastAsia="仿宋_GB2312" w:cs="宋体"/>
          <w:color w:val="000000"/>
          <w:spacing w:val="0"/>
          <w:kern w:val="0"/>
          <w:sz w:val="32"/>
          <w:szCs w:val="32"/>
          <w:lang w:val="en-US" w:eastAsia="zh-CN"/>
        </w:rPr>
        <w:t xml:space="preserve"> </w:t>
      </w:r>
      <w:r>
        <w:rPr>
          <w:rFonts w:hint="eastAsia" w:ascii="仿宋_GB2312" w:hAnsi="宋体" w:eastAsia="仿宋_GB2312" w:cs="宋体"/>
          <w:color w:val="000000"/>
          <w:spacing w:val="0"/>
          <w:kern w:val="0"/>
          <w:sz w:val="32"/>
          <w:szCs w:val="32"/>
        </w:rPr>
        <w:t>鼓励设立心理健康辅导室。制订并实施员工心理援助计划，提供心理评估、心理咨询、教育培训等服务。</w:t>
      </w:r>
    </w:p>
    <w:p>
      <w:pPr>
        <w:wordWrap/>
        <w:adjustRightInd/>
        <w:snapToGrid/>
        <w:spacing w:line="520" w:lineRule="exact"/>
        <w:ind w:firstLine="600"/>
        <w:textAlignment w:val="auto"/>
        <w:rPr>
          <w:rFonts w:ascii="仿宋_GB2312" w:hAnsi="宋体" w:eastAsia="仿宋_GB2312" w:cs="宋体"/>
          <w:color w:val="000000"/>
          <w:spacing w:val="0"/>
          <w:kern w:val="0"/>
          <w:sz w:val="32"/>
          <w:szCs w:val="32"/>
        </w:rPr>
      </w:pPr>
      <w:r>
        <w:rPr>
          <w:rFonts w:hint="eastAsia" w:ascii="仿宋_GB2312" w:hAnsi="宋体" w:eastAsia="仿宋_GB2312" w:cs="宋体"/>
          <w:b/>
          <w:bCs/>
          <w:color w:val="000000"/>
          <w:spacing w:val="0"/>
          <w:kern w:val="0"/>
          <w:sz w:val="32"/>
          <w:szCs w:val="32"/>
        </w:rPr>
        <w:t>第十九条</w:t>
      </w:r>
      <w:r>
        <w:rPr>
          <w:rFonts w:hint="eastAsia" w:ascii="仿宋_GB2312" w:hAnsi="宋体" w:eastAsia="仿宋_GB2312" w:cs="宋体"/>
          <w:color w:val="000000"/>
          <w:spacing w:val="0"/>
          <w:kern w:val="0"/>
          <w:sz w:val="32"/>
          <w:szCs w:val="32"/>
          <w:lang w:val="en-US" w:eastAsia="zh-CN"/>
        </w:rPr>
        <w:t xml:space="preserve"> </w:t>
      </w:r>
      <w:r>
        <w:rPr>
          <w:rFonts w:hint="eastAsia" w:ascii="仿宋_GB2312" w:hAnsi="宋体" w:eastAsia="仿宋_GB2312" w:cs="宋体"/>
          <w:color w:val="000000"/>
          <w:spacing w:val="0"/>
          <w:kern w:val="0"/>
          <w:sz w:val="32"/>
          <w:szCs w:val="32"/>
        </w:rPr>
        <w:t>组织开展适合不同工作场所或工作方式特点的健身活动。完善员工健身场地及设施，开展工间操、眼保健操等工作期间劳逸结合的健康运动。</w:t>
      </w:r>
    </w:p>
    <w:p>
      <w:pPr>
        <w:wordWrap/>
        <w:adjustRightInd/>
        <w:snapToGrid/>
        <w:spacing w:line="520" w:lineRule="exact"/>
        <w:ind w:firstLine="600"/>
        <w:textAlignment w:val="auto"/>
        <w:rPr>
          <w:rFonts w:ascii="仿宋_GB2312" w:hAnsi="宋体" w:eastAsia="仿宋_GB2312" w:cs="宋体"/>
          <w:color w:val="000000"/>
          <w:spacing w:val="0"/>
          <w:kern w:val="0"/>
          <w:sz w:val="32"/>
          <w:szCs w:val="32"/>
        </w:rPr>
      </w:pPr>
      <w:r>
        <w:rPr>
          <w:rFonts w:hint="eastAsia" w:ascii="仿宋_GB2312" w:hAnsi="宋体" w:eastAsia="仿宋_GB2312" w:cs="宋体"/>
          <w:b/>
          <w:bCs/>
          <w:color w:val="000000"/>
          <w:spacing w:val="0"/>
          <w:kern w:val="0"/>
          <w:sz w:val="32"/>
          <w:szCs w:val="32"/>
        </w:rPr>
        <w:t>第二十条</w:t>
      </w:r>
      <w:r>
        <w:rPr>
          <w:rFonts w:hint="eastAsia" w:ascii="仿宋_GB2312" w:hAnsi="宋体" w:eastAsia="仿宋_GB2312" w:cs="宋体"/>
          <w:color w:val="000000"/>
          <w:spacing w:val="0"/>
          <w:kern w:val="0"/>
          <w:sz w:val="32"/>
          <w:szCs w:val="32"/>
          <w:lang w:val="en-US" w:eastAsia="zh-CN"/>
        </w:rPr>
        <w:t xml:space="preserve"> </w:t>
      </w:r>
      <w:r>
        <w:rPr>
          <w:rFonts w:hint="eastAsia" w:ascii="仿宋_GB2312" w:hAnsi="宋体" w:eastAsia="仿宋_GB2312" w:cs="宋体"/>
          <w:color w:val="000000"/>
          <w:spacing w:val="0"/>
          <w:kern w:val="0"/>
          <w:sz w:val="32"/>
          <w:szCs w:val="32"/>
        </w:rPr>
        <w:t>落实《女职工劳动保护特别规定》，加强对怀孕和哺乳期女职工的关爱和照顾。积极开展婚前、孕前和孕期保健，避免孕前、孕期、哺乳期妇女接触有毒有害物质和放射线。每年安排女职工进行一次妇科病和乳腺病筛查。企业应当根据女职工的需要按规定建立女职工卫生室、孕妇休息室、哺乳室、母婴室等设施。</w:t>
      </w:r>
    </w:p>
    <w:p>
      <w:pPr>
        <w:wordWrap/>
        <w:adjustRightInd/>
        <w:snapToGrid/>
        <w:spacing w:line="520" w:lineRule="exact"/>
        <w:ind w:firstLine="600"/>
        <w:textAlignment w:val="auto"/>
        <w:rPr>
          <w:rFonts w:ascii="仿宋_GB2312" w:hAnsi="宋体" w:eastAsia="仿宋_GB2312" w:cs="宋体"/>
          <w:color w:val="000000"/>
          <w:spacing w:val="0"/>
          <w:kern w:val="0"/>
          <w:sz w:val="32"/>
          <w:szCs w:val="32"/>
        </w:rPr>
      </w:pPr>
      <w:r>
        <w:rPr>
          <w:rFonts w:hint="eastAsia" w:ascii="仿宋_GB2312" w:hAnsi="宋体" w:eastAsia="仿宋_GB2312" w:cs="宋体"/>
          <w:b/>
          <w:bCs/>
          <w:color w:val="000000"/>
          <w:spacing w:val="0"/>
          <w:kern w:val="0"/>
          <w:sz w:val="32"/>
          <w:szCs w:val="32"/>
        </w:rPr>
        <w:t>第二十一条</w:t>
      </w:r>
      <w:r>
        <w:rPr>
          <w:rFonts w:hint="eastAsia" w:ascii="仿宋_GB2312" w:hAnsi="宋体" w:eastAsia="仿宋_GB2312" w:cs="宋体"/>
          <w:color w:val="000000"/>
          <w:spacing w:val="0"/>
          <w:kern w:val="0"/>
          <w:sz w:val="32"/>
          <w:szCs w:val="32"/>
          <w:lang w:val="en-US" w:eastAsia="zh-CN"/>
        </w:rPr>
        <w:t xml:space="preserve"> </w:t>
      </w:r>
      <w:r>
        <w:rPr>
          <w:rFonts w:hint="eastAsia" w:ascii="仿宋_GB2312" w:hAnsi="宋体" w:eastAsia="仿宋_GB2312" w:cs="宋体"/>
          <w:color w:val="000000"/>
          <w:spacing w:val="0"/>
          <w:kern w:val="0"/>
          <w:sz w:val="32"/>
          <w:szCs w:val="32"/>
        </w:rPr>
        <w:t>企业主要负责人和职业卫生管理人员应当遵守职业病防治法律、法规，依法组织本单位的职业病防治工作。建立健全职业卫生管理制度、操作规程、职业卫生档案和工作场所职业病危害因素监测及评价制度，实施工作场所职业病危害因素日常监测和定期检测、评价。</w:t>
      </w:r>
    </w:p>
    <w:p>
      <w:pPr>
        <w:wordWrap/>
        <w:adjustRightInd/>
        <w:snapToGrid/>
        <w:spacing w:line="520" w:lineRule="exact"/>
        <w:ind w:firstLine="600"/>
        <w:textAlignment w:val="auto"/>
        <w:rPr>
          <w:rFonts w:ascii="仿宋_GB2312" w:hAnsi="宋体" w:eastAsia="仿宋_GB2312" w:cs="宋体"/>
          <w:color w:val="000000"/>
          <w:spacing w:val="0"/>
          <w:kern w:val="0"/>
          <w:sz w:val="32"/>
          <w:szCs w:val="32"/>
        </w:rPr>
      </w:pPr>
      <w:r>
        <w:rPr>
          <w:rFonts w:hint="eastAsia" w:ascii="仿宋_GB2312" w:hAnsi="宋体" w:eastAsia="仿宋_GB2312" w:cs="宋体"/>
          <w:b/>
          <w:bCs/>
          <w:color w:val="000000"/>
          <w:spacing w:val="0"/>
          <w:kern w:val="0"/>
          <w:sz w:val="32"/>
          <w:szCs w:val="32"/>
        </w:rPr>
        <w:t>第二十二条</w:t>
      </w:r>
      <w:r>
        <w:rPr>
          <w:rFonts w:hint="eastAsia" w:ascii="仿宋_GB2312" w:hAnsi="宋体" w:eastAsia="仿宋_GB2312" w:cs="宋体"/>
          <w:color w:val="000000"/>
          <w:spacing w:val="0"/>
          <w:kern w:val="0"/>
          <w:sz w:val="32"/>
          <w:szCs w:val="32"/>
          <w:lang w:val="en-US" w:eastAsia="zh-CN"/>
        </w:rPr>
        <w:t xml:space="preserve"> </w:t>
      </w:r>
      <w:r>
        <w:rPr>
          <w:rFonts w:hint="eastAsia" w:ascii="仿宋_GB2312" w:hAnsi="宋体" w:eastAsia="仿宋_GB2312" w:cs="宋体"/>
          <w:color w:val="000000"/>
          <w:spacing w:val="0"/>
          <w:kern w:val="0"/>
          <w:sz w:val="32"/>
          <w:szCs w:val="32"/>
        </w:rPr>
        <w:t>对存在或者产生职业病危害的工作场所设置警示标识和中文警示说明。对产生严重职业病危害的工作岗位，应当设置职业病危害告知卡。对可能导致急性职业损伤的有毒、有害工作场所，应当设置报警装置，配置现场急救用品、冲洗设备、应急撤离通道和必要的泄险区。建立、健全职业病危害事故应急救援预案。</w:t>
      </w:r>
    </w:p>
    <w:p>
      <w:pPr>
        <w:wordWrap/>
        <w:adjustRightInd/>
        <w:snapToGrid/>
        <w:spacing w:line="520" w:lineRule="exact"/>
        <w:ind w:firstLine="600"/>
        <w:textAlignment w:val="auto"/>
        <w:rPr>
          <w:rFonts w:ascii="仿宋_GB2312" w:hAnsi="宋体" w:eastAsia="仿宋_GB2312" w:cs="宋体"/>
          <w:color w:val="000000"/>
          <w:spacing w:val="0"/>
          <w:kern w:val="0"/>
          <w:sz w:val="32"/>
          <w:szCs w:val="32"/>
        </w:rPr>
      </w:pPr>
      <w:r>
        <w:rPr>
          <w:rFonts w:hint="eastAsia" w:ascii="仿宋_GB2312" w:hAnsi="宋体" w:eastAsia="仿宋_GB2312" w:cs="宋体"/>
          <w:b/>
          <w:bCs/>
          <w:color w:val="000000"/>
          <w:spacing w:val="0"/>
          <w:kern w:val="0"/>
          <w:sz w:val="32"/>
          <w:szCs w:val="32"/>
        </w:rPr>
        <w:t>第二十三条</w:t>
      </w:r>
      <w:r>
        <w:rPr>
          <w:rFonts w:hint="eastAsia" w:ascii="仿宋_GB2312" w:hAnsi="宋体" w:eastAsia="仿宋_GB2312" w:cs="宋体"/>
          <w:b/>
          <w:bCs/>
          <w:color w:val="000000"/>
          <w:spacing w:val="0"/>
          <w:kern w:val="0"/>
          <w:sz w:val="32"/>
          <w:szCs w:val="32"/>
          <w:lang w:val="en-US" w:eastAsia="zh-CN"/>
        </w:rPr>
        <w:t xml:space="preserve"> </w:t>
      </w:r>
      <w:r>
        <w:rPr>
          <w:rFonts w:hint="eastAsia" w:ascii="仿宋_GB2312" w:hAnsi="宋体" w:eastAsia="仿宋_GB2312" w:cs="宋体"/>
          <w:color w:val="000000"/>
          <w:spacing w:val="0"/>
          <w:kern w:val="0"/>
          <w:sz w:val="32"/>
          <w:szCs w:val="32"/>
        </w:rPr>
        <w:t>建立完善职业健康监护制度，对从事接触职业病危害作业的劳动者进行上岗前、在岗期间和离岗时的职业健康检查。规范建立职业健康监护档案并定期评估，配合做好职业病诊断与鉴定工作。妥善安置有职业禁忌、职业相关健康损害和患有职业病的员工，保护其合法权益。依法依规安排职业病病人进行治疗、康复和定期检查。对从事接触职业病危害作业的劳动者，给予适当岗位津贴。</w:t>
      </w:r>
    </w:p>
    <w:p>
      <w:pPr>
        <w:wordWrap/>
        <w:adjustRightInd/>
        <w:snapToGrid/>
        <w:spacing w:line="520" w:lineRule="exact"/>
        <w:ind w:firstLine="600"/>
        <w:textAlignment w:val="auto"/>
        <w:rPr>
          <w:rFonts w:ascii="仿宋_GB2312" w:hAnsi="宋体" w:eastAsia="仿宋_GB2312" w:cs="宋体"/>
          <w:color w:val="000000"/>
          <w:spacing w:val="0"/>
          <w:kern w:val="0"/>
          <w:sz w:val="32"/>
          <w:szCs w:val="32"/>
        </w:rPr>
      </w:pPr>
      <w:r>
        <w:rPr>
          <w:rFonts w:hint="eastAsia" w:ascii="仿宋_GB2312" w:hAnsi="宋体" w:eastAsia="仿宋_GB2312" w:cs="宋体"/>
          <w:b/>
          <w:bCs/>
          <w:color w:val="000000"/>
          <w:spacing w:val="0"/>
          <w:kern w:val="0"/>
          <w:sz w:val="32"/>
          <w:szCs w:val="32"/>
        </w:rPr>
        <w:t>第二十四条</w:t>
      </w:r>
      <w:r>
        <w:rPr>
          <w:rFonts w:hint="eastAsia" w:ascii="仿宋_GB2312" w:hAnsi="宋体" w:eastAsia="仿宋_GB2312" w:cs="宋体"/>
          <w:color w:val="000000"/>
          <w:spacing w:val="0"/>
          <w:kern w:val="0"/>
          <w:sz w:val="32"/>
          <w:szCs w:val="32"/>
          <w:lang w:val="en-US" w:eastAsia="zh-CN"/>
        </w:rPr>
        <w:t xml:space="preserve"> </w:t>
      </w:r>
      <w:r>
        <w:rPr>
          <w:rFonts w:hint="eastAsia" w:ascii="仿宋_GB2312" w:hAnsi="宋体" w:eastAsia="仿宋_GB2312" w:cs="宋体"/>
          <w:color w:val="000000"/>
          <w:spacing w:val="0"/>
          <w:kern w:val="0"/>
          <w:sz w:val="32"/>
          <w:szCs w:val="32"/>
        </w:rPr>
        <w:t>优先采用有利于防治职业病和保护劳动者健康的新技术、新工艺、新设备、新材料，逐步替代职业病危害严重的技术、工艺、设备、材料。</w:t>
      </w:r>
    </w:p>
    <w:p>
      <w:pPr>
        <w:wordWrap/>
        <w:adjustRightInd/>
        <w:snapToGrid/>
        <w:spacing w:line="520" w:lineRule="exact"/>
        <w:ind w:firstLine="600"/>
        <w:textAlignment w:val="auto"/>
        <w:rPr>
          <w:rFonts w:ascii="宋体" w:hAnsi="宋体" w:cs="宋体"/>
          <w:color w:val="000000"/>
          <w:spacing w:val="0"/>
          <w:kern w:val="0"/>
          <w:sz w:val="32"/>
          <w:szCs w:val="32"/>
        </w:rPr>
      </w:pPr>
      <w:r>
        <w:rPr>
          <w:rFonts w:hint="eastAsia" w:ascii="仿宋_GB2312" w:hAnsi="宋体" w:eastAsia="仿宋_GB2312" w:cs="宋体"/>
          <w:b/>
          <w:bCs/>
          <w:color w:val="000000"/>
          <w:spacing w:val="0"/>
          <w:kern w:val="0"/>
          <w:sz w:val="32"/>
          <w:szCs w:val="32"/>
        </w:rPr>
        <w:t>第二十五条</w:t>
      </w:r>
      <w:r>
        <w:rPr>
          <w:rFonts w:hint="eastAsia" w:ascii="仿宋_GB2312" w:hAnsi="宋体" w:eastAsia="仿宋_GB2312" w:cs="宋体"/>
          <w:b/>
          <w:bCs/>
          <w:color w:val="000000"/>
          <w:spacing w:val="0"/>
          <w:kern w:val="0"/>
          <w:sz w:val="32"/>
          <w:szCs w:val="32"/>
          <w:lang w:val="en-US" w:eastAsia="zh-CN"/>
        </w:rPr>
        <w:t xml:space="preserve"> </w:t>
      </w:r>
      <w:r>
        <w:rPr>
          <w:rFonts w:hint="eastAsia" w:ascii="仿宋_GB2312" w:hAnsi="宋体" w:eastAsia="仿宋_GB2312" w:cs="宋体"/>
          <w:color w:val="000000"/>
          <w:spacing w:val="0"/>
          <w:kern w:val="0"/>
          <w:sz w:val="32"/>
          <w:szCs w:val="32"/>
        </w:rPr>
        <w:t>企业主要负责人、职业卫生管理人员接受职业卫生培训。对劳动者进行上岗前的职业卫生培训和在岗期间的定期职业卫生培训，普及职业卫生知识，增强职业病防范意识和能力。</w:t>
      </w:r>
    </w:p>
    <w:p>
      <w:pPr>
        <w:widowControl w:val="0"/>
        <w:wordWrap/>
        <w:adjustRightInd/>
        <w:snapToGrid/>
        <w:spacing w:beforeLines="50" w:afterLines="50" w:line="520" w:lineRule="exact"/>
        <w:jc w:val="center"/>
        <w:textAlignment w:val="auto"/>
        <w:rPr>
          <w:rFonts w:hint="eastAsia" w:ascii="方正黑体简体" w:hAnsi="方正黑体简体" w:eastAsia="方正黑体简体" w:cs="方正黑体简体"/>
          <w:b w:val="0"/>
          <w:bCs w:val="0"/>
          <w:color w:val="000000"/>
          <w:spacing w:val="0"/>
          <w:kern w:val="0"/>
          <w:sz w:val="32"/>
          <w:szCs w:val="32"/>
        </w:rPr>
      </w:pPr>
      <w:r>
        <w:rPr>
          <w:rFonts w:hint="eastAsia" w:ascii="方正黑体简体" w:hAnsi="方正黑体简体" w:eastAsia="方正黑体简体" w:cs="方正黑体简体"/>
          <w:b w:val="0"/>
          <w:bCs w:val="0"/>
          <w:color w:val="000000"/>
          <w:spacing w:val="0"/>
          <w:kern w:val="0"/>
          <w:sz w:val="32"/>
          <w:szCs w:val="32"/>
        </w:rPr>
        <w:t>第四章  营造健康文化</w:t>
      </w:r>
    </w:p>
    <w:p>
      <w:pPr>
        <w:wordWrap/>
        <w:adjustRightInd/>
        <w:snapToGrid/>
        <w:spacing w:line="520" w:lineRule="exact"/>
        <w:ind w:firstLine="600"/>
        <w:textAlignment w:val="auto"/>
        <w:rPr>
          <w:rFonts w:ascii="仿宋_GB2312" w:hAnsi="宋体" w:eastAsia="仿宋_GB2312" w:cs="宋体"/>
          <w:color w:val="000000"/>
          <w:spacing w:val="0"/>
          <w:kern w:val="0"/>
          <w:sz w:val="32"/>
          <w:szCs w:val="32"/>
        </w:rPr>
      </w:pPr>
      <w:r>
        <w:rPr>
          <w:rFonts w:hint="eastAsia" w:ascii="仿宋_GB2312" w:hAnsi="宋体" w:eastAsia="仿宋_GB2312" w:cs="宋体"/>
          <w:b/>
          <w:bCs/>
          <w:color w:val="000000"/>
          <w:spacing w:val="0"/>
          <w:kern w:val="0"/>
          <w:sz w:val="32"/>
          <w:szCs w:val="32"/>
        </w:rPr>
        <w:t>第二十六条</w:t>
      </w:r>
      <w:r>
        <w:rPr>
          <w:rFonts w:hint="eastAsia" w:ascii="仿宋_GB2312" w:hAnsi="宋体" w:eastAsia="仿宋_GB2312" w:cs="宋体"/>
          <w:b/>
          <w:bCs/>
          <w:color w:val="000000"/>
          <w:spacing w:val="0"/>
          <w:kern w:val="0"/>
          <w:sz w:val="32"/>
          <w:szCs w:val="32"/>
          <w:lang w:val="en-US" w:eastAsia="zh-CN"/>
        </w:rPr>
        <w:t xml:space="preserve"> </w:t>
      </w:r>
      <w:r>
        <w:rPr>
          <w:rFonts w:hint="eastAsia" w:ascii="仿宋_GB2312" w:hAnsi="宋体" w:eastAsia="仿宋_GB2312" w:cs="宋体"/>
          <w:color w:val="000000"/>
          <w:spacing w:val="0"/>
          <w:kern w:val="0"/>
          <w:sz w:val="32"/>
          <w:szCs w:val="32"/>
        </w:rPr>
        <w:t>通过多种传播方式，广泛开展健康知识普及，倡导企业员工主动践行合理膳食、适量运动、戒烟限酒等健康生活方式。积极传播健康先进理念和文化，鼓励员工率先树立健康形象，鼓励评选“健康达人”，并给予奖励。</w:t>
      </w:r>
    </w:p>
    <w:p>
      <w:pPr>
        <w:wordWrap/>
        <w:adjustRightInd/>
        <w:snapToGrid/>
        <w:spacing w:line="520" w:lineRule="exact"/>
        <w:ind w:firstLine="600"/>
        <w:textAlignment w:val="auto"/>
        <w:rPr>
          <w:rFonts w:ascii="仿宋_GB2312" w:hAnsi="宋体" w:eastAsia="仿宋_GB2312" w:cs="宋体"/>
          <w:color w:val="000000"/>
          <w:spacing w:val="0"/>
          <w:kern w:val="0"/>
          <w:sz w:val="32"/>
          <w:szCs w:val="32"/>
        </w:rPr>
      </w:pPr>
      <w:r>
        <w:rPr>
          <w:rFonts w:hint="eastAsia" w:ascii="仿宋_GB2312" w:hAnsi="宋体" w:eastAsia="仿宋_GB2312" w:cs="宋体"/>
          <w:b/>
          <w:bCs/>
          <w:color w:val="000000"/>
          <w:spacing w:val="0"/>
          <w:kern w:val="0"/>
          <w:sz w:val="32"/>
          <w:szCs w:val="32"/>
        </w:rPr>
        <w:t>第二十七条</w:t>
      </w:r>
      <w:r>
        <w:rPr>
          <w:rFonts w:hint="eastAsia" w:ascii="仿宋_GB2312" w:hAnsi="宋体" w:eastAsia="仿宋_GB2312" w:cs="宋体"/>
          <w:color w:val="000000"/>
          <w:spacing w:val="0"/>
          <w:kern w:val="0"/>
          <w:sz w:val="32"/>
          <w:szCs w:val="32"/>
          <w:lang w:val="en-US" w:eastAsia="zh-CN"/>
        </w:rPr>
        <w:t xml:space="preserve"> </w:t>
      </w:r>
      <w:r>
        <w:rPr>
          <w:rFonts w:hint="eastAsia" w:ascii="仿宋_GB2312" w:hAnsi="宋体" w:eastAsia="仿宋_GB2312" w:cs="宋体"/>
          <w:color w:val="000000"/>
          <w:spacing w:val="0"/>
          <w:kern w:val="0"/>
          <w:sz w:val="32"/>
          <w:szCs w:val="32"/>
        </w:rPr>
        <w:t>定期组织开展传染病、慢性病和职业病防治及心理健康等内容的健康教育活动，提高员工健康素养。</w:t>
      </w:r>
    </w:p>
    <w:p>
      <w:pPr>
        <w:wordWrap/>
        <w:adjustRightInd/>
        <w:snapToGrid/>
        <w:spacing w:line="520" w:lineRule="exact"/>
        <w:ind w:firstLine="600"/>
        <w:textAlignment w:val="auto"/>
        <w:rPr>
          <w:rFonts w:ascii="仿宋_GB2312" w:hAnsi="宋体" w:eastAsia="仿宋_GB2312" w:cs="宋体"/>
          <w:color w:val="000000"/>
          <w:spacing w:val="0"/>
          <w:kern w:val="0"/>
          <w:sz w:val="32"/>
          <w:szCs w:val="32"/>
        </w:rPr>
      </w:pPr>
      <w:r>
        <w:rPr>
          <w:rFonts w:hint="eastAsia" w:ascii="仿宋_GB2312" w:hAnsi="宋体" w:eastAsia="仿宋_GB2312" w:cs="宋体"/>
          <w:b/>
          <w:bCs/>
          <w:color w:val="000000"/>
          <w:spacing w:val="0"/>
          <w:kern w:val="0"/>
          <w:sz w:val="32"/>
          <w:szCs w:val="32"/>
        </w:rPr>
        <w:t>第二十八条</w:t>
      </w:r>
      <w:r>
        <w:rPr>
          <w:rFonts w:hint="eastAsia" w:ascii="仿宋_GB2312" w:hAnsi="宋体" w:eastAsia="仿宋_GB2312" w:cs="宋体"/>
          <w:color w:val="000000"/>
          <w:spacing w:val="0"/>
          <w:kern w:val="0"/>
          <w:sz w:val="32"/>
          <w:szCs w:val="32"/>
          <w:lang w:val="en-US" w:eastAsia="zh-CN"/>
        </w:rPr>
        <w:t xml:space="preserve"> </w:t>
      </w:r>
      <w:r>
        <w:rPr>
          <w:rFonts w:hint="eastAsia" w:ascii="仿宋_GB2312" w:hAnsi="宋体" w:eastAsia="仿宋_GB2312" w:cs="宋体"/>
          <w:color w:val="000000"/>
          <w:spacing w:val="0"/>
          <w:kern w:val="0"/>
          <w:sz w:val="32"/>
          <w:szCs w:val="32"/>
        </w:rPr>
        <w:t>定期对食堂管理和从业人员开展营养、平衡膳食和食品安全相关培训。</w:t>
      </w:r>
    </w:p>
    <w:p>
      <w:pPr>
        <w:wordWrap/>
        <w:adjustRightInd/>
        <w:snapToGrid/>
        <w:spacing w:line="520" w:lineRule="exact"/>
        <w:ind w:firstLine="600"/>
        <w:textAlignment w:val="auto"/>
        <w:rPr>
          <w:rFonts w:ascii="仿宋_GB2312" w:hAnsi="宋体" w:eastAsia="仿宋_GB2312" w:cs="宋体"/>
          <w:color w:val="000000"/>
          <w:spacing w:val="0"/>
          <w:kern w:val="0"/>
          <w:sz w:val="32"/>
          <w:szCs w:val="32"/>
        </w:rPr>
      </w:pPr>
      <w:r>
        <w:rPr>
          <w:rFonts w:hint="eastAsia" w:ascii="仿宋_GB2312" w:hAnsi="宋体" w:eastAsia="仿宋_GB2312" w:cs="宋体"/>
          <w:b/>
          <w:bCs/>
          <w:color w:val="000000"/>
          <w:spacing w:val="0"/>
          <w:kern w:val="0"/>
          <w:sz w:val="32"/>
          <w:szCs w:val="32"/>
        </w:rPr>
        <w:t>第二十九条</w:t>
      </w:r>
      <w:r>
        <w:rPr>
          <w:rFonts w:hint="eastAsia" w:ascii="仿宋_GB2312" w:hAnsi="宋体" w:eastAsia="仿宋_GB2312" w:cs="宋体"/>
          <w:color w:val="000000"/>
          <w:spacing w:val="0"/>
          <w:kern w:val="0"/>
          <w:sz w:val="32"/>
          <w:szCs w:val="32"/>
          <w:lang w:val="en-US" w:eastAsia="zh-CN"/>
        </w:rPr>
        <w:t xml:space="preserve"> </w:t>
      </w:r>
      <w:r>
        <w:rPr>
          <w:rFonts w:hint="eastAsia" w:ascii="仿宋_GB2312" w:hAnsi="宋体" w:eastAsia="仿宋_GB2312" w:cs="宋体"/>
          <w:color w:val="000000"/>
          <w:spacing w:val="0"/>
          <w:kern w:val="0"/>
          <w:sz w:val="32"/>
          <w:szCs w:val="32"/>
        </w:rPr>
        <w:t>关爱员工身心健康，构建和谐、平等、信任、宽容的人文环境。采取积极有效措施预防和制止工作场所暴力、歧视和性骚扰等。</w:t>
      </w:r>
    </w:p>
    <w:p>
      <w:pPr>
        <w:wordWrap/>
        <w:adjustRightInd/>
        <w:snapToGrid/>
        <w:spacing w:line="520" w:lineRule="exact"/>
        <w:ind w:firstLine="643" w:firstLineChars="200"/>
        <w:textAlignment w:val="auto"/>
        <w:rPr>
          <w:rFonts w:ascii="仿宋_GB2312" w:hAnsi="Times New Roman" w:eastAsia="仿宋_GB2312" w:cs="Times New Roman"/>
          <w:color w:val="000000"/>
          <w:spacing w:val="0"/>
          <w:sz w:val="32"/>
          <w:szCs w:val="32"/>
        </w:rPr>
      </w:pPr>
      <w:r>
        <w:rPr>
          <w:rFonts w:hint="eastAsia" w:ascii="仿宋_GB2312" w:hAnsi="宋体" w:eastAsia="仿宋_GB2312" w:cs="宋体"/>
          <w:b/>
          <w:bCs/>
          <w:color w:val="000000"/>
          <w:spacing w:val="0"/>
          <w:kern w:val="0"/>
          <w:sz w:val="32"/>
          <w:szCs w:val="32"/>
        </w:rPr>
        <w:t>第三十条</w:t>
      </w:r>
      <w:r>
        <w:rPr>
          <w:rFonts w:hint="eastAsia" w:ascii="仿宋_GB2312" w:hAnsi="宋体" w:eastAsia="仿宋_GB2312" w:cs="宋体"/>
          <w:b/>
          <w:bCs/>
          <w:color w:val="000000"/>
          <w:spacing w:val="0"/>
          <w:kern w:val="0"/>
          <w:sz w:val="32"/>
          <w:szCs w:val="32"/>
          <w:lang w:val="en-US" w:eastAsia="zh-CN"/>
        </w:rPr>
        <w:t xml:space="preserve"> </w:t>
      </w:r>
      <w:r>
        <w:rPr>
          <w:rFonts w:hint="eastAsia" w:ascii="仿宋_GB2312" w:hAnsi="宋体" w:eastAsia="仿宋_GB2312" w:cs="宋体"/>
          <w:color w:val="000000"/>
          <w:spacing w:val="0"/>
          <w:kern w:val="0"/>
          <w:sz w:val="32"/>
          <w:szCs w:val="32"/>
        </w:rPr>
        <w:t>切实履行社会责任，积极参与无偿献血等社会公益活动。</w:t>
      </w:r>
    </w:p>
    <w:p>
      <w:pPr>
        <w:wordWrap/>
        <w:adjustRightInd/>
        <w:snapToGrid/>
        <w:spacing w:line="480" w:lineRule="exact"/>
        <w:jc w:val="left"/>
        <w:textAlignment w:val="auto"/>
        <w:rPr>
          <w:rFonts w:ascii="宋体" w:hAnsi="宋体" w:cs="方正仿宋_GBK"/>
          <w:color w:val="000000"/>
          <w:sz w:val="32"/>
          <w:szCs w:val="32"/>
        </w:rPr>
      </w:pPr>
      <w:r>
        <w:rPr>
          <w:rFonts w:ascii="Times New Roman" w:hAnsi="Times New Roman" w:eastAsia="仿宋_GB2312" w:cs="Times New Roman"/>
          <w:color w:val="000000"/>
          <w:spacing w:val="0"/>
          <w:sz w:val="32"/>
          <w:szCs w:val="20"/>
        </w:rPr>
        <w:br w:type="page"/>
      </w:r>
      <w:r>
        <w:rPr>
          <w:rFonts w:hint="eastAsia" w:ascii="黑体" w:hAnsi="黑体" w:eastAsia="黑体"/>
          <w:color w:val="000000"/>
          <w:sz w:val="32"/>
          <w:szCs w:val="32"/>
        </w:rPr>
        <w:t>附件2</w:t>
      </w:r>
    </w:p>
    <w:p>
      <w:pPr>
        <w:widowControl/>
        <w:wordWrap/>
        <w:adjustRightInd/>
        <w:snapToGrid/>
        <w:spacing w:afterLines="100" w:line="520" w:lineRule="exact"/>
        <w:ind w:firstLine="880" w:firstLineChars="200"/>
        <w:jc w:val="center"/>
        <w:textAlignment w:val="auto"/>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吉林省健康企业申请表</w:t>
      </w:r>
    </w:p>
    <w:tbl>
      <w:tblPr>
        <w:tblW w:w="9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85"/>
        <w:gridCol w:w="1040"/>
        <w:gridCol w:w="1801"/>
        <w:gridCol w:w="1845"/>
        <w:gridCol w:w="1473"/>
        <w:gridCol w:w="1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jc w:val="center"/>
        </w:trPr>
        <w:tc>
          <w:tcPr>
            <w:tcW w:w="1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方正仿宋_GBK" w:hAnsi="仿宋" w:eastAsia="方正仿宋_GBK" w:cs="仿宋"/>
                <w:color w:val="000000"/>
                <w:kern w:val="0"/>
                <w:sz w:val="24"/>
                <w:szCs w:val="24"/>
              </w:rPr>
            </w:pPr>
            <w:r>
              <w:rPr>
                <w:rFonts w:hint="eastAsia" w:ascii="方正仿宋_GBK" w:hAnsi="仿宋" w:eastAsia="方正仿宋_GBK" w:cs="仿宋"/>
                <w:color w:val="000000"/>
                <w:kern w:val="0"/>
                <w:sz w:val="24"/>
                <w:szCs w:val="24"/>
              </w:rPr>
              <w:t>单位名称</w:t>
            </w:r>
          </w:p>
        </w:tc>
        <w:tc>
          <w:tcPr>
            <w:tcW w:w="767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方正仿宋_GBK" w:hAnsi="仿宋" w:eastAsia="方正仿宋_GBK" w:cs="仿宋"/>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1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方正仿宋_GBK" w:hAnsi="仿宋" w:eastAsia="方正仿宋_GBK" w:cs="仿宋"/>
                <w:color w:val="000000"/>
                <w:kern w:val="0"/>
                <w:sz w:val="24"/>
                <w:szCs w:val="24"/>
              </w:rPr>
            </w:pPr>
            <w:r>
              <w:rPr>
                <w:rFonts w:hint="eastAsia" w:ascii="方正仿宋_GBK" w:hAnsi="仿宋" w:eastAsia="方正仿宋_GBK" w:cs="仿宋"/>
                <w:color w:val="000000"/>
                <w:kern w:val="0"/>
                <w:sz w:val="24"/>
                <w:szCs w:val="24"/>
              </w:rPr>
              <w:t>单位地址</w:t>
            </w:r>
          </w:p>
        </w:tc>
        <w:tc>
          <w:tcPr>
            <w:tcW w:w="2841"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400" w:lineRule="exact"/>
              <w:jc w:val="center"/>
              <w:textAlignment w:val="center"/>
              <w:rPr>
                <w:rFonts w:ascii="方正仿宋_GBK" w:hAnsi="仿宋" w:eastAsia="方正仿宋_GBK" w:cs="仿宋"/>
                <w:color w:val="000000"/>
                <w:kern w:val="0"/>
                <w:sz w:val="24"/>
                <w:szCs w:val="24"/>
              </w:rPr>
            </w:pPr>
          </w:p>
        </w:tc>
        <w:tc>
          <w:tcPr>
            <w:tcW w:w="184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方正仿宋_GBK" w:hAnsi="仿宋" w:eastAsia="方正仿宋_GBK" w:cs="仿宋"/>
                <w:color w:val="000000"/>
                <w:kern w:val="0"/>
                <w:sz w:val="24"/>
                <w:szCs w:val="24"/>
              </w:rPr>
            </w:pPr>
            <w:r>
              <w:rPr>
                <w:rFonts w:hint="eastAsia" w:ascii="方正仿宋_GBK" w:hAnsi="仿宋" w:eastAsia="方正仿宋_GBK" w:cs="仿宋"/>
                <w:color w:val="000000"/>
                <w:kern w:val="0"/>
                <w:sz w:val="24"/>
                <w:szCs w:val="24"/>
              </w:rPr>
              <w:t>社会信用</w:t>
            </w:r>
          </w:p>
          <w:p>
            <w:pPr>
              <w:widowControl/>
              <w:spacing w:line="400" w:lineRule="exact"/>
              <w:jc w:val="center"/>
              <w:textAlignment w:val="center"/>
              <w:rPr>
                <w:rFonts w:ascii="方正仿宋_GBK" w:hAnsi="仿宋" w:eastAsia="方正仿宋_GBK" w:cs="仿宋"/>
                <w:color w:val="000000"/>
                <w:kern w:val="0"/>
                <w:sz w:val="24"/>
                <w:szCs w:val="24"/>
              </w:rPr>
            </w:pPr>
            <w:r>
              <w:rPr>
                <w:rFonts w:hint="eastAsia" w:ascii="方正仿宋_GBK" w:hAnsi="仿宋" w:eastAsia="方正仿宋_GBK" w:cs="仿宋"/>
                <w:color w:val="000000"/>
                <w:kern w:val="0"/>
                <w:sz w:val="24"/>
                <w:szCs w:val="24"/>
              </w:rPr>
              <w:t>统一代码</w:t>
            </w:r>
          </w:p>
        </w:tc>
        <w:tc>
          <w:tcPr>
            <w:tcW w:w="298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方正仿宋_GBK" w:hAnsi="仿宋" w:eastAsia="方正仿宋_GBK" w:cs="仿宋"/>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jc w:val="center"/>
        </w:trPr>
        <w:tc>
          <w:tcPr>
            <w:tcW w:w="1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方正仿宋_GBK" w:hAnsi="仿宋" w:eastAsia="方正仿宋_GBK" w:cs="仿宋"/>
                <w:color w:val="000000"/>
                <w:kern w:val="0"/>
                <w:sz w:val="24"/>
                <w:szCs w:val="24"/>
              </w:rPr>
            </w:pPr>
            <w:r>
              <w:rPr>
                <w:rFonts w:hint="eastAsia" w:ascii="方正仿宋_GBK" w:hAnsi="仿宋" w:eastAsia="方正仿宋_GBK" w:cs="仿宋"/>
                <w:color w:val="000000"/>
                <w:kern w:val="0"/>
                <w:sz w:val="24"/>
                <w:szCs w:val="24"/>
              </w:rPr>
              <w:t>企业规模</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方正仿宋_GBK" w:hAnsi="仿宋" w:eastAsia="方正仿宋_GBK" w:cs="仿宋"/>
                <w:color w:val="000000"/>
                <w:kern w:val="0"/>
                <w:sz w:val="24"/>
                <w:szCs w:val="24"/>
              </w:rPr>
            </w:pPr>
          </w:p>
        </w:tc>
        <w:tc>
          <w:tcPr>
            <w:tcW w:w="1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方正仿宋_GBK" w:hAnsi="仿宋" w:eastAsia="方正仿宋_GBK" w:cs="仿宋"/>
                <w:color w:val="000000"/>
                <w:kern w:val="0"/>
                <w:sz w:val="24"/>
                <w:szCs w:val="24"/>
              </w:rPr>
            </w:pPr>
            <w:r>
              <w:rPr>
                <w:rFonts w:hint="eastAsia" w:ascii="方正仿宋_GBK" w:hAnsi="仿宋" w:eastAsia="方正仿宋_GBK" w:cs="仿宋"/>
                <w:color w:val="000000"/>
                <w:kern w:val="0"/>
                <w:sz w:val="24"/>
                <w:szCs w:val="24"/>
              </w:rPr>
              <w:t>企业注册类型</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方正仿宋_GBK" w:hAnsi="仿宋" w:eastAsia="方正仿宋_GBK" w:cs="仿宋"/>
                <w:color w:val="000000"/>
                <w:kern w:val="0"/>
                <w:sz w:val="24"/>
                <w:szCs w:val="24"/>
              </w:rPr>
            </w:pP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方正仿宋_GBK" w:hAnsi="仿宋" w:eastAsia="方正仿宋_GBK" w:cs="仿宋"/>
                <w:color w:val="000000"/>
                <w:kern w:val="0"/>
                <w:sz w:val="24"/>
                <w:szCs w:val="24"/>
              </w:rPr>
            </w:pPr>
            <w:r>
              <w:rPr>
                <w:rFonts w:hint="eastAsia" w:ascii="方正仿宋_GBK" w:hAnsi="仿宋" w:eastAsia="方正仿宋_GBK" w:cs="仿宋"/>
                <w:color w:val="000000"/>
                <w:kern w:val="0"/>
                <w:sz w:val="24"/>
                <w:szCs w:val="24"/>
              </w:rPr>
              <w:t>注册时间</w:t>
            </w:r>
          </w:p>
        </w:tc>
        <w:tc>
          <w:tcPr>
            <w:tcW w:w="15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方正仿宋_GBK" w:hAnsi="仿宋" w:eastAsia="方正仿宋_GBK" w:cs="仿宋"/>
                <w:color w:val="000000"/>
                <w:kern w:val="0"/>
                <w:sz w:val="24"/>
                <w:szCs w:val="24"/>
              </w:rPr>
            </w:pPr>
            <w:r>
              <w:rPr>
                <w:rFonts w:hint="eastAsia" w:ascii="方正仿宋_GBK" w:hAnsi="仿宋" w:eastAsia="方正仿宋_GBK" w:cs="仿宋"/>
                <w:color w:val="000000"/>
                <w:kern w:val="0"/>
                <w:sz w:val="24"/>
                <w:szCs w:val="24"/>
                <w:lang w:val="en-US" w:eastAsia="zh-CN"/>
              </w:rPr>
              <w:t xml:space="preserve">   </w:t>
            </w:r>
            <w:r>
              <w:rPr>
                <w:rFonts w:hint="eastAsia" w:ascii="方正仿宋_GBK" w:hAnsi="仿宋" w:eastAsia="方正仿宋_GBK" w:cs="仿宋"/>
                <w:color w:val="000000"/>
                <w:kern w:val="0"/>
                <w:sz w:val="24"/>
                <w:szCs w:val="24"/>
              </w:rPr>
              <w:t>年</w:t>
            </w:r>
            <w:r>
              <w:rPr>
                <w:rFonts w:hint="eastAsia" w:ascii="方正仿宋_GBK" w:hAnsi="仿宋" w:eastAsia="方正仿宋_GBK" w:cs="仿宋"/>
                <w:color w:val="000000"/>
                <w:kern w:val="0"/>
                <w:sz w:val="24"/>
                <w:szCs w:val="24"/>
                <w:lang w:val="en-US" w:eastAsia="zh-CN"/>
              </w:rPr>
              <w:t xml:space="preserve"> </w:t>
            </w:r>
            <w:r>
              <w:rPr>
                <w:rFonts w:hint="eastAsia" w:ascii="方正仿宋_GBK" w:hAnsi="仿宋" w:eastAsia="方正仿宋_GBK" w:cs="仿宋"/>
                <w:color w:val="000000"/>
                <w:kern w:val="0"/>
                <w:sz w:val="24"/>
                <w:szCs w:val="24"/>
              </w:rPr>
              <w:t>月</w:t>
            </w:r>
            <w:r>
              <w:rPr>
                <w:rFonts w:hint="eastAsia" w:ascii="方正仿宋_GBK" w:hAnsi="仿宋" w:eastAsia="方正仿宋_GBK" w:cs="仿宋"/>
                <w:color w:val="000000"/>
                <w:kern w:val="0"/>
                <w:sz w:val="24"/>
                <w:szCs w:val="24"/>
                <w:lang w:val="en-US" w:eastAsia="zh-CN"/>
              </w:rPr>
              <w:t xml:space="preserve"> </w:t>
            </w:r>
            <w:r>
              <w:rPr>
                <w:rFonts w:hint="eastAsia" w:ascii="方正仿宋_GBK" w:hAnsi="仿宋" w:eastAsia="方正仿宋_GBK" w:cs="仿宋"/>
                <w:color w:val="000000"/>
                <w:kern w:val="0"/>
                <w:sz w:val="24"/>
                <w:szCs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jc w:val="center"/>
        </w:trPr>
        <w:tc>
          <w:tcPr>
            <w:tcW w:w="1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方正仿宋_GBK" w:hAnsi="仿宋" w:eastAsia="方正仿宋_GBK" w:cs="仿宋"/>
                <w:color w:val="000000"/>
                <w:kern w:val="0"/>
                <w:sz w:val="24"/>
                <w:szCs w:val="24"/>
              </w:rPr>
            </w:pPr>
            <w:r>
              <w:rPr>
                <w:rFonts w:hint="eastAsia" w:ascii="方正仿宋_GBK" w:hAnsi="仿宋" w:eastAsia="方正仿宋_GBK" w:cs="仿宋"/>
                <w:color w:val="000000"/>
                <w:kern w:val="0"/>
                <w:sz w:val="24"/>
                <w:szCs w:val="24"/>
              </w:rPr>
              <w:t>行业分类</w:t>
            </w:r>
          </w:p>
        </w:tc>
        <w:tc>
          <w:tcPr>
            <w:tcW w:w="28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方正仿宋_GBK" w:hAnsi="仿宋" w:eastAsia="方正仿宋_GBK" w:cs="仿宋"/>
                <w:color w:val="000000"/>
                <w:kern w:val="0"/>
                <w:sz w:val="24"/>
                <w:szCs w:val="24"/>
              </w:rPr>
            </w:pP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方正仿宋_GBK" w:hAnsi="仿宋" w:eastAsia="方正仿宋_GBK" w:cs="仿宋"/>
                <w:color w:val="000000"/>
                <w:kern w:val="0"/>
                <w:sz w:val="24"/>
                <w:szCs w:val="24"/>
              </w:rPr>
            </w:pPr>
            <w:r>
              <w:rPr>
                <w:rFonts w:hint="eastAsia" w:ascii="方正仿宋_GBK" w:hAnsi="仿宋" w:eastAsia="方正仿宋_GBK" w:cs="仿宋"/>
                <w:color w:val="000000"/>
                <w:kern w:val="0"/>
                <w:sz w:val="24"/>
                <w:szCs w:val="24"/>
              </w:rPr>
              <w:t>年末职工总人数</w:t>
            </w:r>
          </w:p>
        </w:tc>
        <w:tc>
          <w:tcPr>
            <w:tcW w:w="298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方正仿宋_GBK" w:hAnsi="仿宋" w:eastAsia="方正仿宋_GBK" w:cs="仿宋"/>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1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方正仿宋_GBK" w:hAnsi="仿宋" w:eastAsia="方正仿宋_GBK" w:cs="仿宋"/>
                <w:color w:val="000000"/>
                <w:kern w:val="0"/>
                <w:sz w:val="24"/>
                <w:szCs w:val="24"/>
              </w:rPr>
            </w:pPr>
            <w:r>
              <w:rPr>
                <w:rFonts w:hint="eastAsia" w:ascii="方正仿宋_GBK" w:hAnsi="仿宋" w:eastAsia="方正仿宋_GBK" w:cs="仿宋"/>
                <w:color w:val="000000"/>
                <w:kern w:val="0"/>
                <w:sz w:val="24"/>
                <w:szCs w:val="24"/>
              </w:rPr>
              <w:t>接触职业病危害因素人数</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方正仿宋_GBK" w:hAnsi="仿宋" w:eastAsia="方正仿宋_GBK" w:cs="仿宋"/>
                <w:color w:val="000000"/>
                <w:kern w:val="0"/>
                <w:sz w:val="24"/>
                <w:szCs w:val="24"/>
              </w:rPr>
            </w:pPr>
          </w:p>
        </w:tc>
        <w:tc>
          <w:tcPr>
            <w:tcW w:w="1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方正仿宋_GBK" w:hAnsi="仿宋" w:eastAsia="方正仿宋_GBK" w:cs="仿宋"/>
                <w:color w:val="000000"/>
                <w:kern w:val="0"/>
                <w:sz w:val="24"/>
                <w:szCs w:val="24"/>
              </w:rPr>
            </w:pPr>
            <w:r>
              <w:rPr>
                <w:rFonts w:hint="eastAsia" w:ascii="方正仿宋_GBK" w:hAnsi="仿宋" w:eastAsia="方正仿宋_GBK" w:cs="仿宋"/>
                <w:color w:val="000000"/>
                <w:kern w:val="0"/>
                <w:sz w:val="24"/>
                <w:szCs w:val="24"/>
              </w:rPr>
              <w:t>其中外包工人数</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方正仿宋_GBK" w:hAnsi="仿宋" w:eastAsia="方正仿宋_GBK" w:cs="仿宋"/>
                <w:color w:val="000000"/>
                <w:kern w:val="0"/>
                <w:sz w:val="24"/>
                <w:szCs w:val="24"/>
              </w:rPr>
            </w:pP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方正仿宋_GBK" w:hAnsi="仿宋" w:eastAsia="方正仿宋_GBK" w:cs="仿宋"/>
                <w:color w:val="000000"/>
                <w:kern w:val="0"/>
                <w:sz w:val="24"/>
                <w:szCs w:val="24"/>
              </w:rPr>
            </w:pPr>
            <w:r>
              <w:rPr>
                <w:rFonts w:hint="eastAsia" w:ascii="方正仿宋_GBK" w:hAnsi="仿宋" w:eastAsia="方正仿宋_GBK" w:cs="仿宋"/>
                <w:color w:val="000000"/>
                <w:kern w:val="0"/>
                <w:sz w:val="24"/>
                <w:szCs w:val="24"/>
              </w:rPr>
              <w:t>5年内新增职业病人总数</w:t>
            </w:r>
          </w:p>
        </w:tc>
        <w:tc>
          <w:tcPr>
            <w:tcW w:w="15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方正仿宋_GBK" w:hAnsi="仿宋" w:eastAsia="方正仿宋_GBK" w:cs="仿宋"/>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2" w:hRule="atLeast"/>
          <w:jc w:val="center"/>
        </w:trPr>
        <w:tc>
          <w:tcPr>
            <w:tcW w:w="1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方正仿宋_GBK" w:hAnsi="仿宋" w:eastAsia="方正仿宋_GBK" w:cs="仿宋"/>
                <w:color w:val="000000"/>
                <w:kern w:val="0"/>
                <w:sz w:val="24"/>
                <w:szCs w:val="24"/>
              </w:rPr>
            </w:pPr>
            <w:r>
              <w:rPr>
                <w:rFonts w:hint="eastAsia" w:ascii="方正仿宋_GBK" w:hAnsi="仿宋" w:eastAsia="方正仿宋_GBK" w:cs="仿宋"/>
                <w:color w:val="000000"/>
                <w:kern w:val="0"/>
                <w:sz w:val="24"/>
                <w:szCs w:val="24"/>
              </w:rPr>
              <w:t>接尘工龄不足５年的劳动者新发尘肺病人数</w:t>
            </w:r>
          </w:p>
        </w:tc>
        <w:tc>
          <w:tcPr>
            <w:tcW w:w="28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方正仿宋_GBK" w:hAnsi="仿宋" w:eastAsia="方正仿宋_GBK" w:cs="仿宋"/>
                <w:color w:val="000000"/>
                <w:kern w:val="0"/>
                <w:sz w:val="24"/>
                <w:szCs w:val="24"/>
              </w:rPr>
            </w:pP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方正仿宋_GBK" w:hAnsi="仿宋" w:eastAsia="方正仿宋_GBK" w:cs="仿宋"/>
                <w:color w:val="000000"/>
                <w:kern w:val="0"/>
                <w:sz w:val="24"/>
                <w:szCs w:val="24"/>
              </w:rPr>
            </w:pPr>
            <w:r>
              <w:rPr>
                <w:rFonts w:hint="eastAsia" w:ascii="方正仿宋_GBK" w:hAnsi="仿宋" w:eastAsia="方正仿宋_GBK" w:cs="仿宋"/>
                <w:color w:val="000000"/>
                <w:kern w:val="0"/>
                <w:sz w:val="24"/>
                <w:szCs w:val="24"/>
              </w:rPr>
              <w:t>职业健康达人/健康达人数量</w:t>
            </w:r>
          </w:p>
        </w:tc>
        <w:tc>
          <w:tcPr>
            <w:tcW w:w="298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方正仿宋_GBK" w:hAnsi="仿宋" w:eastAsia="方正仿宋_GBK" w:cs="仿宋"/>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1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方正仿宋_GBK" w:hAnsi="仿宋" w:eastAsia="方正仿宋_GBK" w:cs="仿宋"/>
                <w:color w:val="000000"/>
                <w:kern w:val="0"/>
                <w:sz w:val="24"/>
                <w:szCs w:val="24"/>
              </w:rPr>
            </w:pPr>
            <w:r>
              <w:rPr>
                <w:rFonts w:hint="eastAsia" w:ascii="方正仿宋_GBK" w:hAnsi="仿宋" w:eastAsia="方正仿宋_GBK" w:cs="仿宋"/>
                <w:color w:val="000000"/>
                <w:kern w:val="0"/>
                <w:sz w:val="24"/>
                <w:szCs w:val="24"/>
              </w:rPr>
              <w:t>健康企业建设</w:t>
            </w:r>
          </w:p>
          <w:p>
            <w:pPr>
              <w:widowControl/>
              <w:spacing w:line="400" w:lineRule="exact"/>
              <w:jc w:val="center"/>
              <w:textAlignment w:val="center"/>
              <w:rPr>
                <w:rFonts w:ascii="方正仿宋_GBK" w:hAnsi="仿宋" w:eastAsia="方正仿宋_GBK" w:cs="仿宋"/>
                <w:color w:val="000000"/>
                <w:kern w:val="0"/>
                <w:sz w:val="24"/>
                <w:szCs w:val="24"/>
              </w:rPr>
            </w:pPr>
            <w:r>
              <w:rPr>
                <w:rFonts w:hint="eastAsia" w:ascii="方正仿宋_GBK" w:hAnsi="仿宋" w:eastAsia="方正仿宋_GBK" w:cs="仿宋"/>
                <w:color w:val="000000"/>
                <w:kern w:val="0"/>
                <w:sz w:val="24"/>
                <w:szCs w:val="24"/>
              </w:rPr>
              <w:t>主管部门</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方正仿宋_GBK" w:hAnsi="仿宋" w:eastAsia="方正仿宋_GBK" w:cs="仿宋"/>
                <w:color w:val="000000"/>
                <w:kern w:val="0"/>
                <w:sz w:val="24"/>
                <w:szCs w:val="24"/>
              </w:rPr>
            </w:pPr>
          </w:p>
        </w:tc>
        <w:tc>
          <w:tcPr>
            <w:tcW w:w="1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方正仿宋_GBK" w:hAnsi="仿宋" w:eastAsia="方正仿宋_GBK" w:cs="仿宋"/>
                <w:color w:val="000000"/>
                <w:kern w:val="0"/>
                <w:sz w:val="24"/>
                <w:szCs w:val="24"/>
              </w:rPr>
            </w:pPr>
            <w:r>
              <w:rPr>
                <w:rFonts w:hint="eastAsia" w:ascii="方正仿宋_GBK" w:hAnsi="仿宋" w:eastAsia="方正仿宋_GBK" w:cs="仿宋"/>
                <w:color w:val="000000"/>
                <w:kern w:val="0"/>
                <w:sz w:val="24"/>
                <w:szCs w:val="24"/>
              </w:rPr>
              <w:t>健康企业建设具体负责人</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方正仿宋_GBK" w:hAnsi="仿宋" w:eastAsia="方正仿宋_GBK" w:cs="仿宋"/>
                <w:color w:val="000000"/>
                <w:kern w:val="0"/>
                <w:sz w:val="24"/>
                <w:szCs w:val="24"/>
              </w:rPr>
            </w:pP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方正仿宋_GBK" w:hAnsi="仿宋" w:eastAsia="方正仿宋_GBK" w:cs="仿宋"/>
                <w:color w:val="000000"/>
                <w:kern w:val="0"/>
                <w:sz w:val="24"/>
                <w:szCs w:val="24"/>
              </w:rPr>
            </w:pPr>
            <w:r>
              <w:rPr>
                <w:rFonts w:hint="eastAsia" w:ascii="方正仿宋_GBK" w:hAnsi="仿宋" w:eastAsia="方正仿宋_GBK" w:cs="仿宋"/>
                <w:color w:val="000000"/>
                <w:kern w:val="0"/>
                <w:sz w:val="24"/>
                <w:szCs w:val="24"/>
              </w:rPr>
              <w:t>联系电话</w:t>
            </w:r>
          </w:p>
        </w:tc>
        <w:tc>
          <w:tcPr>
            <w:tcW w:w="15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方正仿宋_GBK" w:hAnsi="仿宋" w:eastAsia="方正仿宋_GBK" w:cs="仿宋"/>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0" w:hRule="atLeast"/>
          <w:jc w:val="center"/>
        </w:trPr>
        <w:tc>
          <w:tcPr>
            <w:tcW w:w="1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方正仿宋_GBK" w:hAnsi="仿宋" w:eastAsia="方正仿宋_GBK" w:cs="仿宋"/>
                <w:color w:val="000000"/>
                <w:kern w:val="0"/>
                <w:sz w:val="24"/>
                <w:szCs w:val="24"/>
              </w:rPr>
            </w:pPr>
            <w:r>
              <w:rPr>
                <w:rFonts w:hint="eastAsia" w:ascii="方正仿宋_GBK" w:hAnsi="仿宋" w:eastAsia="方正仿宋_GBK" w:cs="仿宋"/>
                <w:color w:val="000000"/>
                <w:kern w:val="0"/>
                <w:sz w:val="24"/>
                <w:szCs w:val="24"/>
              </w:rPr>
              <w:t>健康企业建设情况报告</w:t>
            </w:r>
          </w:p>
        </w:tc>
        <w:tc>
          <w:tcPr>
            <w:tcW w:w="767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spacing w:line="400" w:lineRule="exact"/>
              <w:textAlignment w:val="center"/>
              <w:rPr>
                <w:rFonts w:ascii="方正仿宋_GBK" w:hAnsi="仿宋" w:eastAsia="方正仿宋_GBK" w:cs="仿宋"/>
                <w:color w:val="000000"/>
                <w:kern w:val="0"/>
                <w:sz w:val="24"/>
                <w:szCs w:val="24"/>
              </w:rPr>
            </w:pPr>
            <w:r>
              <w:rPr>
                <w:rFonts w:hint="eastAsia" w:ascii="方正仿宋_GBK" w:hAnsi="仿宋" w:eastAsia="方正仿宋_GBK" w:cs="仿宋"/>
                <w:color w:val="000000"/>
                <w:kern w:val="0"/>
                <w:sz w:val="24"/>
                <w:szCs w:val="24"/>
              </w:rPr>
              <w:t>1000字以内（主要包括建设过程情况、亮点、收获、问题等），可另附。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56" w:hRule="atLeast"/>
          <w:jc w:val="center"/>
        </w:trPr>
        <w:tc>
          <w:tcPr>
            <w:tcW w:w="956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方正仿宋_GBK" w:hAnsi="仿宋" w:eastAsia="方正仿宋_GBK" w:cs="仿宋"/>
                <w:color w:val="000000"/>
                <w:kern w:val="0"/>
                <w:sz w:val="24"/>
                <w:szCs w:val="24"/>
              </w:rPr>
            </w:pPr>
            <w:r>
              <w:rPr>
                <w:rFonts w:hint="eastAsia" w:ascii="方正仿宋_GBK" w:hAnsi="仿宋" w:eastAsia="方正仿宋_GBK" w:cs="仿宋"/>
                <w:color w:val="000000"/>
                <w:kern w:val="0"/>
                <w:sz w:val="24"/>
                <w:szCs w:val="24"/>
              </w:rPr>
              <w:t>申请单位意见：</w:t>
            </w:r>
          </w:p>
          <w:p>
            <w:pPr>
              <w:widowControl/>
              <w:spacing w:line="400" w:lineRule="exact"/>
              <w:jc w:val="center"/>
              <w:textAlignment w:val="center"/>
              <w:rPr>
                <w:rFonts w:ascii="方正仿宋_GBK" w:hAnsi="仿宋" w:eastAsia="方正仿宋_GBK" w:cs="仿宋"/>
                <w:color w:val="000000"/>
                <w:kern w:val="0"/>
                <w:sz w:val="24"/>
                <w:szCs w:val="24"/>
              </w:rPr>
            </w:pPr>
          </w:p>
          <w:p>
            <w:pPr>
              <w:widowControl/>
              <w:spacing w:line="400" w:lineRule="exact"/>
              <w:jc w:val="center"/>
              <w:textAlignment w:val="center"/>
              <w:rPr>
                <w:rFonts w:ascii="方正仿宋_GBK" w:hAnsi="仿宋" w:eastAsia="方正仿宋_GBK" w:cs="仿宋"/>
                <w:color w:val="000000"/>
                <w:kern w:val="0"/>
                <w:sz w:val="24"/>
                <w:szCs w:val="24"/>
              </w:rPr>
            </w:pPr>
          </w:p>
          <w:p>
            <w:pPr>
              <w:widowControl/>
              <w:spacing w:line="400" w:lineRule="exact"/>
              <w:jc w:val="center"/>
              <w:textAlignment w:val="center"/>
              <w:rPr>
                <w:rFonts w:ascii="方正仿宋_GBK" w:hAnsi="仿宋" w:eastAsia="方正仿宋_GBK" w:cs="仿宋"/>
                <w:color w:val="000000"/>
                <w:kern w:val="0"/>
                <w:sz w:val="24"/>
                <w:szCs w:val="24"/>
              </w:rPr>
            </w:pPr>
            <w:r>
              <w:rPr>
                <w:rFonts w:hint="eastAsia" w:ascii="方正仿宋_GBK" w:hAnsi="仿宋" w:eastAsia="方正仿宋_GBK" w:cs="仿宋"/>
                <w:color w:val="000000"/>
                <w:kern w:val="0"/>
                <w:sz w:val="24"/>
                <w:szCs w:val="24"/>
              </w:rPr>
              <w:t xml:space="preserve">           申请单位：（公章）          主要负责人：（签字）</w:t>
            </w:r>
          </w:p>
          <w:p>
            <w:pPr>
              <w:widowControl/>
              <w:spacing w:line="400" w:lineRule="exact"/>
              <w:jc w:val="center"/>
              <w:textAlignment w:val="center"/>
              <w:rPr>
                <w:rFonts w:ascii="方正仿宋_GBK" w:hAnsi="仿宋" w:eastAsia="方正仿宋_GBK" w:cs="仿宋"/>
                <w:color w:val="000000"/>
                <w:kern w:val="0"/>
                <w:sz w:val="24"/>
                <w:szCs w:val="24"/>
              </w:rPr>
            </w:pPr>
            <w:r>
              <w:rPr>
                <w:rFonts w:hint="eastAsia" w:ascii="方正仿宋_GBK" w:hAnsi="仿宋" w:eastAsia="方正仿宋_GBK" w:cs="仿宋"/>
                <w:color w:val="000000"/>
                <w:kern w:val="0"/>
                <w:sz w:val="24"/>
                <w:szCs w:val="24"/>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34" w:hRule="atLeast"/>
          <w:jc w:val="center"/>
        </w:trPr>
        <w:tc>
          <w:tcPr>
            <w:tcW w:w="956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方正仿宋_GBK" w:hAnsi="仿宋" w:eastAsia="方正仿宋_GBK" w:cs="仿宋"/>
                <w:color w:val="000000"/>
                <w:kern w:val="0"/>
                <w:sz w:val="24"/>
                <w:szCs w:val="24"/>
              </w:rPr>
            </w:pPr>
            <w:r>
              <w:rPr>
                <w:rFonts w:hint="eastAsia" w:ascii="方正仿宋_GBK" w:hAnsi="仿宋" w:eastAsia="方正仿宋_GBK" w:cs="仿宋"/>
                <w:color w:val="000000"/>
                <w:kern w:val="0"/>
                <w:sz w:val="24"/>
                <w:szCs w:val="24"/>
              </w:rPr>
              <w:t>县级评估意见：（是否符合吉林省健康企业认定条件）</w:t>
            </w:r>
          </w:p>
          <w:p>
            <w:pPr>
              <w:widowControl/>
              <w:spacing w:line="400" w:lineRule="exact"/>
              <w:jc w:val="center"/>
              <w:textAlignment w:val="center"/>
              <w:rPr>
                <w:rFonts w:ascii="方正仿宋_GBK" w:hAnsi="仿宋" w:eastAsia="方正仿宋_GBK" w:cs="仿宋"/>
                <w:color w:val="000000"/>
                <w:kern w:val="0"/>
                <w:sz w:val="24"/>
                <w:szCs w:val="24"/>
              </w:rPr>
            </w:pPr>
          </w:p>
          <w:p>
            <w:pPr>
              <w:widowControl/>
              <w:spacing w:line="400" w:lineRule="exact"/>
              <w:jc w:val="center"/>
              <w:textAlignment w:val="center"/>
              <w:rPr>
                <w:rFonts w:ascii="方正仿宋_GBK" w:hAnsi="仿宋" w:eastAsia="方正仿宋_GBK" w:cs="仿宋"/>
                <w:color w:val="000000"/>
                <w:kern w:val="0"/>
                <w:sz w:val="24"/>
                <w:szCs w:val="24"/>
              </w:rPr>
            </w:pPr>
            <w:r>
              <w:rPr>
                <w:rFonts w:hint="eastAsia" w:ascii="方正仿宋_GBK" w:hAnsi="仿宋" w:eastAsia="方正仿宋_GBK" w:cs="仿宋"/>
                <w:color w:val="000000"/>
                <w:kern w:val="0"/>
                <w:sz w:val="24"/>
                <w:szCs w:val="24"/>
              </w:rPr>
              <w:t xml:space="preserve">                                              县级卫生健康主管部门（盖章）</w:t>
            </w:r>
          </w:p>
          <w:p>
            <w:pPr>
              <w:widowControl/>
              <w:spacing w:line="400" w:lineRule="exact"/>
              <w:jc w:val="center"/>
              <w:textAlignment w:val="center"/>
              <w:rPr>
                <w:rFonts w:ascii="方正仿宋_GBK" w:hAnsi="仿宋" w:eastAsia="方正仿宋_GBK" w:cs="仿宋"/>
                <w:color w:val="000000"/>
                <w:kern w:val="0"/>
                <w:sz w:val="24"/>
                <w:szCs w:val="24"/>
              </w:rPr>
            </w:pPr>
            <w:r>
              <w:rPr>
                <w:rFonts w:hint="eastAsia" w:ascii="方正仿宋_GBK" w:hAnsi="仿宋" w:eastAsia="方正仿宋_GBK" w:cs="仿宋"/>
                <w:color w:val="000000"/>
                <w:kern w:val="0"/>
                <w:sz w:val="24"/>
                <w:szCs w:val="24"/>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42" w:hRule="atLeast"/>
          <w:jc w:val="center"/>
        </w:trPr>
        <w:tc>
          <w:tcPr>
            <w:tcW w:w="956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方正仿宋_GBK" w:hAnsi="Times New Roman" w:eastAsia="方正仿宋_GBK" w:cs="Times New Roman"/>
                <w:color w:val="000000"/>
                <w:kern w:val="0"/>
                <w:sz w:val="24"/>
                <w:szCs w:val="24"/>
              </w:rPr>
            </w:pPr>
            <w:r>
              <w:rPr>
                <w:rFonts w:hint="eastAsia" w:ascii="方正仿宋_GBK" w:hAnsi="仿宋" w:eastAsia="方正仿宋_GBK" w:cs="仿宋"/>
                <w:color w:val="000000"/>
                <w:kern w:val="0"/>
                <w:sz w:val="24"/>
                <w:szCs w:val="24"/>
              </w:rPr>
              <w:t>市级评估意见：</w:t>
            </w:r>
            <w:r>
              <w:rPr>
                <w:rFonts w:hint="eastAsia" w:ascii="方正仿宋_GBK" w:hAnsi="Wingdings 2" w:eastAsia="方正仿宋_GBK" w:cs="Times New Roman"/>
                <w:color w:val="000000"/>
                <w:kern w:val="0"/>
                <w:sz w:val="24"/>
                <w:szCs w:val="24"/>
              </w:rPr>
              <w:t>（是否</w:t>
            </w:r>
            <w:r>
              <w:rPr>
                <w:rFonts w:hint="eastAsia" w:ascii="方正仿宋_GBK" w:hAnsi="仿宋" w:eastAsia="方正仿宋_GBK" w:cs="仿宋"/>
                <w:color w:val="000000"/>
                <w:kern w:val="0"/>
                <w:sz w:val="24"/>
                <w:szCs w:val="24"/>
              </w:rPr>
              <w:t>符合吉林省健康企业认定条件）</w:t>
            </w:r>
          </w:p>
          <w:p>
            <w:pPr>
              <w:widowControl/>
              <w:spacing w:line="400" w:lineRule="exact"/>
              <w:jc w:val="center"/>
              <w:textAlignment w:val="center"/>
              <w:rPr>
                <w:rFonts w:ascii="方正仿宋_GBK" w:hAnsi="仿宋" w:eastAsia="方正仿宋_GBK" w:cs="仿宋"/>
                <w:color w:val="000000"/>
                <w:kern w:val="0"/>
                <w:sz w:val="24"/>
                <w:szCs w:val="24"/>
              </w:rPr>
            </w:pPr>
          </w:p>
          <w:p>
            <w:pPr>
              <w:widowControl/>
              <w:spacing w:line="400" w:lineRule="exact"/>
              <w:jc w:val="center"/>
              <w:textAlignment w:val="center"/>
              <w:rPr>
                <w:rFonts w:ascii="方正仿宋_GBK" w:hAnsi="仿宋" w:eastAsia="方正仿宋_GBK" w:cs="仿宋"/>
                <w:color w:val="000000"/>
                <w:kern w:val="0"/>
                <w:sz w:val="24"/>
                <w:szCs w:val="24"/>
              </w:rPr>
            </w:pPr>
            <w:r>
              <w:rPr>
                <w:rFonts w:hint="eastAsia" w:ascii="方正仿宋_GBK" w:hAnsi="仿宋" w:eastAsia="方正仿宋_GBK" w:cs="仿宋"/>
                <w:color w:val="000000"/>
                <w:kern w:val="0"/>
                <w:sz w:val="24"/>
                <w:szCs w:val="24"/>
              </w:rPr>
              <w:t xml:space="preserve">                                                市级卫生健康主管部门（盖章）</w:t>
            </w:r>
          </w:p>
          <w:p>
            <w:pPr>
              <w:widowControl/>
              <w:spacing w:line="400" w:lineRule="exact"/>
              <w:jc w:val="center"/>
              <w:textAlignment w:val="center"/>
              <w:rPr>
                <w:rFonts w:ascii="方正仿宋_GBK" w:hAnsi="仿宋" w:eastAsia="方正仿宋_GBK" w:cs="仿宋"/>
                <w:color w:val="000000"/>
                <w:kern w:val="0"/>
                <w:sz w:val="24"/>
                <w:szCs w:val="24"/>
              </w:rPr>
            </w:pPr>
            <w:r>
              <w:rPr>
                <w:rFonts w:hint="eastAsia" w:ascii="方正仿宋_GBK" w:hAnsi="仿宋" w:eastAsia="方正仿宋_GBK" w:cs="仿宋"/>
                <w:color w:val="000000"/>
                <w:kern w:val="0"/>
                <w:sz w:val="24"/>
                <w:szCs w:val="24"/>
              </w:rPr>
              <w:t xml:space="preserve">                                                年   月  日</w:t>
            </w:r>
          </w:p>
        </w:tc>
      </w:tr>
    </w:tbl>
    <w:p>
      <w:pPr>
        <w:widowControl/>
        <w:spacing w:line="520" w:lineRule="exact"/>
        <w:jc w:val="left"/>
        <w:textAlignment w:val="center"/>
        <w:rPr>
          <w:rFonts w:hint="eastAsia" w:ascii="方正仿宋_GBK" w:hAnsi="仿宋" w:eastAsia="方正仿宋_GBK" w:cs="仿宋"/>
          <w:color w:val="000000"/>
          <w:kern w:val="0"/>
          <w:sz w:val="24"/>
          <w:szCs w:val="24"/>
        </w:rPr>
      </w:pPr>
    </w:p>
    <w:p>
      <w:pPr>
        <w:widowControl/>
        <w:spacing w:line="52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填表说明：</w:t>
      </w:r>
    </w:p>
    <w:p>
      <w:pPr>
        <w:widowControl/>
        <w:spacing w:line="52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1．企业名称：指法人证书上企业名称。</w:t>
      </w:r>
    </w:p>
    <w:p>
      <w:pPr>
        <w:widowControl/>
        <w:spacing w:line="52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2．社会统一信用代码：指法人证书上的社会统一信用代码。</w:t>
      </w:r>
    </w:p>
    <w:p>
      <w:pPr>
        <w:widowControl/>
        <w:spacing w:line="52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3．企业规模：按国家统计局《关于印发统计上大中小微型企业划分办法的通知》（国统〔2011〕75号）的要求，填写大、中、小、微。</w:t>
      </w:r>
    </w:p>
    <w:p>
      <w:pPr>
        <w:widowControl/>
        <w:spacing w:line="52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4．注册类型：按工商局注册的类型，填写国有企业、集体企业、股份合作企业、联营企业、有限责任公司、股份有限公司、私营企业、港澳台商投资企业、外商投资企业、其他企业。</w:t>
      </w:r>
    </w:p>
    <w:p>
      <w:pPr>
        <w:widowControl/>
        <w:spacing w:line="520" w:lineRule="exact"/>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5．行业分类：按《国民经济行业分类和代码》（GB/T4754-2017）填报，行业填报至大类。如制造业中黑色金属冶炼和压延加工业。</w:t>
      </w:r>
    </w:p>
    <w:p>
      <w:pPr>
        <w:widowControl/>
        <w:spacing w:line="520" w:lineRule="exact"/>
        <w:jc w:val="left"/>
        <w:textAlignment w:val="center"/>
        <w:rPr>
          <w:rFonts w:hint="eastAsia" w:ascii="仿宋_GB2312" w:hAnsi="仿宋_GB2312" w:eastAsia="仿宋_GB2312" w:cs="仿宋_GB2312"/>
          <w:color w:val="000000"/>
          <w:sz w:val="36"/>
          <w:szCs w:val="36"/>
        </w:rPr>
      </w:pPr>
      <w:r>
        <w:rPr>
          <w:rFonts w:hint="eastAsia" w:ascii="仿宋_GB2312" w:hAnsi="仿宋_GB2312" w:eastAsia="仿宋_GB2312" w:cs="仿宋_GB2312"/>
          <w:color w:val="000000"/>
          <w:kern w:val="0"/>
          <w:sz w:val="24"/>
          <w:szCs w:val="24"/>
        </w:rPr>
        <w:t>6．年末职工总人数：包括与用人单位签订劳动合同和外包劳务合同工。</w:t>
      </w:r>
    </w:p>
    <w:p>
      <w:pPr>
        <w:spacing w:line="520" w:lineRule="exact"/>
        <w:jc w:val="center"/>
        <w:rPr>
          <w:rFonts w:ascii="方正小标宋_GBK" w:hAnsi="方正公文小标宋" w:eastAsia="方正小标宋_GBK" w:cs="方正小标宋_GBK"/>
          <w:color w:val="000000"/>
          <w:sz w:val="36"/>
          <w:szCs w:val="36"/>
        </w:rPr>
      </w:pPr>
    </w:p>
    <w:p>
      <w:pPr>
        <w:spacing w:line="520" w:lineRule="exact"/>
        <w:jc w:val="center"/>
        <w:rPr>
          <w:rFonts w:ascii="方正小标宋_GBK" w:hAnsi="方正公文小标宋" w:eastAsia="方正小标宋_GBK" w:cs="方正小标宋_GBK"/>
          <w:color w:val="000000"/>
          <w:sz w:val="36"/>
          <w:szCs w:val="36"/>
        </w:rPr>
      </w:pPr>
    </w:p>
    <w:p>
      <w:pPr>
        <w:spacing w:line="520" w:lineRule="exact"/>
        <w:jc w:val="center"/>
        <w:rPr>
          <w:rFonts w:ascii="方正小标宋_GBK" w:hAnsi="方正公文小标宋" w:eastAsia="方正小标宋_GBK" w:cs="方正小标宋_GBK"/>
          <w:color w:val="000000"/>
          <w:sz w:val="36"/>
          <w:szCs w:val="36"/>
        </w:rPr>
      </w:pPr>
    </w:p>
    <w:p>
      <w:pPr>
        <w:spacing w:line="520" w:lineRule="exact"/>
        <w:jc w:val="center"/>
        <w:rPr>
          <w:rFonts w:ascii="方正小标宋_GBK" w:hAnsi="方正公文小标宋" w:eastAsia="方正小标宋_GBK" w:cs="方正小标宋_GBK"/>
          <w:color w:val="000000"/>
          <w:sz w:val="36"/>
          <w:szCs w:val="36"/>
        </w:rPr>
      </w:pPr>
    </w:p>
    <w:p>
      <w:pPr>
        <w:spacing w:line="520" w:lineRule="exact"/>
        <w:jc w:val="center"/>
        <w:rPr>
          <w:rFonts w:ascii="方正小标宋_GBK" w:hAnsi="方正公文小标宋" w:eastAsia="方正小标宋_GBK" w:cs="方正小标宋_GBK"/>
          <w:color w:val="000000"/>
          <w:sz w:val="36"/>
          <w:szCs w:val="36"/>
        </w:rPr>
      </w:pPr>
    </w:p>
    <w:p>
      <w:pPr>
        <w:spacing w:line="520" w:lineRule="exact"/>
        <w:jc w:val="center"/>
        <w:rPr>
          <w:rFonts w:ascii="方正小标宋_GBK" w:hAnsi="方正公文小标宋" w:eastAsia="方正小标宋_GBK" w:cs="方正小标宋_GBK"/>
          <w:color w:val="000000"/>
          <w:sz w:val="36"/>
          <w:szCs w:val="36"/>
        </w:rPr>
      </w:pPr>
    </w:p>
    <w:p>
      <w:pPr>
        <w:spacing w:line="520" w:lineRule="exact"/>
        <w:jc w:val="center"/>
        <w:rPr>
          <w:rFonts w:ascii="方正小标宋_GBK" w:hAnsi="方正公文小标宋" w:eastAsia="方正小标宋_GBK" w:cs="方正小标宋_GBK"/>
          <w:color w:val="000000"/>
          <w:sz w:val="36"/>
          <w:szCs w:val="36"/>
        </w:rPr>
      </w:pPr>
    </w:p>
    <w:p>
      <w:pPr>
        <w:spacing w:line="520" w:lineRule="exact"/>
        <w:jc w:val="center"/>
        <w:rPr>
          <w:rFonts w:ascii="方正小标宋_GBK" w:hAnsi="方正公文小标宋" w:eastAsia="方正小标宋_GBK" w:cs="方正小标宋_GBK"/>
          <w:color w:val="000000"/>
          <w:sz w:val="36"/>
          <w:szCs w:val="36"/>
        </w:rPr>
      </w:pPr>
    </w:p>
    <w:p>
      <w:pPr>
        <w:spacing w:line="520" w:lineRule="exact"/>
        <w:jc w:val="center"/>
        <w:rPr>
          <w:rFonts w:ascii="方正小标宋_GBK" w:hAnsi="方正公文小标宋" w:eastAsia="方正小标宋_GBK" w:cs="方正小标宋_GBK"/>
          <w:color w:val="000000"/>
          <w:sz w:val="36"/>
          <w:szCs w:val="36"/>
        </w:rPr>
      </w:pPr>
    </w:p>
    <w:p>
      <w:pPr>
        <w:spacing w:line="520" w:lineRule="exact"/>
        <w:jc w:val="center"/>
        <w:rPr>
          <w:rFonts w:ascii="方正小标宋_GBK" w:hAnsi="方正公文小标宋" w:eastAsia="方正小标宋_GBK" w:cs="方正小标宋_GBK"/>
          <w:color w:val="000000"/>
          <w:sz w:val="36"/>
          <w:szCs w:val="36"/>
        </w:rPr>
      </w:pPr>
    </w:p>
    <w:p>
      <w:pPr>
        <w:spacing w:line="520" w:lineRule="exact"/>
        <w:jc w:val="center"/>
        <w:rPr>
          <w:rFonts w:ascii="方正小标宋_GBK" w:hAnsi="方正公文小标宋" w:eastAsia="方正小标宋_GBK" w:cs="方正小标宋_GBK"/>
          <w:color w:val="000000"/>
          <w:sz w:val="36"/>
          <w:szCs w:val="36"/>
        </w:rPr>
      </w:pPr>
    </w:p>
    <w:p>
      <w:pPr>
        <w:spacing w:line="520" w:lineRule="exact"/>
        <w:jc w:val="center"/>
        <w:rPr>
          <w:rFonts w:ascii="方正小标宋_GBK" w:hAnsi="方正公文小标宋" w:eastAsia="方正小标宋_GBK" w:cs="方正小标宋_GBK"/>
          <w:color w:val="000000"/>
          <w:sz w:val="36"/>
          <w:szCs w:val="36"/>
        </w:rPr>
      </w:pPr>
    </w:p>
    <w:p>
      <w:pPr>
        <w:spacing w:line="520" w:lineRule="exact"/>
        <w:jc w:val="center"/>
        <w:rPr>
          <w:rFonts w:ascii="方正小标宋_GBK" w:hAnsi="方正公文小标宋" w:eastAsia="方正小标宋_GBK" w:cs="方正小标宋_GBK"/>
          <w:color w:val="000000"/>
          <w:sz w:val="36"/>
          <w:szCs w:val="36"/>
        </w:rPr>
      </w:pPr>
    </w:p>
    <w:p>
      <w:pPr>
        <w:pStyle w:val="2"/>
        <w:rPr>
          <w:rFonts w:ascii="方正小标宋_GBK" w:hAnsi="方正公文小标宋" w:eastAsia="方正小标宋_GBK" w:cs="方正小标宋_GBK"/>
          <w:color w:val="000000"/>
          <w:sz w:val="36"/>
          <w:szCs w:val="36"/>
        </w:rPr>
      </w:pPr>
    </w:p>
    <w:p>
      <w:pPr>
        <w:spacing w:line="520" w:lineRule="exact"/>
        <w:jc w:val="left"/>
        <w:rPr>
          <w:rFonts w:ascii="黑体" w:hAnsi="黑体" w:eastAsia="黑体"/>
          <w:color w:val="000000"/>
          <w:sz w:val="32"/>
          <w:szCs w:val="32"/>
        </w:rPr>
      </w:pPr>
      <w:r>
        <w:rPr>
          <w:rFonts w:hint="eastAsia" w:ascii="黑体" w:hAnsi="黑体" w:eastAsia="黑体"/>
          <w:color w:val="000000"/>
          <w:sz w:val="32"/>
          <w:szCs w:val="32"/>
        </w:rPr>
        <w:t>附件3</w:t>
      </w:r>
    </w:p>
    <w:p>
      <w:pPr>
        <w:spacing w:line="520" w:lineRule="exact"/>
        <w:jc w:val="center"/>
        <w:rPr>
          <w:rFonts w:ascii="方正小标宋_GBK" w:hAnsi="方正公文小标宋" w:eastAsia="方正小标宋_GBK" w:cs="方正小标宋_GBK"/>
          <w:color w:val="000000"/>
          <w:sz w:val="44"/>
          <w:szCs w:val="44"/>
        </w:rPr>
      </w:pPr>
    </w:p>
    <w:p>
      <w:pPr>
        <w:spacing w:line="52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吉林省健康企业建设承诺书</w:t>
      </w:r>
    </w:p>
    <w:p>
      <w:pPr>
        <w:spacing w:line="520" w:lineRule="exact"/>
        <w:jc w:val="center"/>
        <w:rPr>
          <w:rFonts w:ascii="方正小标宋_GBK" w:hAnsi="方正公文小标宋" w:eastAsia="方正小标宋_GBK" w:cs="Times New Roman"/>
          <w:color w:val="000000"/>
          <w:sz w:val="32"/>
          <w:szCs w:val="32"/>
        </w:rPr>
      </w:pPr>
    </w:p>
    <w:p>
      <w:pPr>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人作为（XXX企业）（XXX职务），秉承以人为本的方针，在此郑重承诺：本企业自愿开展吉林健康企业建设，遵守《中华人民共和国职业病防治法》，近3年内未发生因防控措施不力导致的甲、乙类传染病爆发流行和群体性食源性疾病等事故、未发生重大职业健康安全责任事故、未发生企业过失造成的重大突发环境事件、没有接尘工龄不足５年的劳动者新发尘肺病，积极开展争做“职业健康达人”评选活动。</w:t>
      </w:r>
    </w:p>
    <w:p>
      <w:pPr>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本企业将把健康理念融入各项制度并持续应用到实际工作中，全面履行社会责任，打造健康、安全、和谐和可持续发展的工作生活环境，切实保障员工的健康和福祉。</w:t>
      </w:r>
    </w:p>
    <w:p>
      <w:pPr>
        <w:spacing w:line="520" w:lineRule="exact"/>
        <w:ind w:firstLine="600" w:firstLineChars="200"/>
        <w:rPr>
          <w:rFonts w:ascii="仿宋_GB2312" w:hAnsi="仿宋_GB2312" w:eastAsia="仿宋_GB2312" w:cs="仿宋_GB2312"/>
          <w:color w:val="000000"/>
          <w:sz w:val="30"/>
          <w:szCs w:val="30"/>
        </w:rPr>
      </w:pPr>
    </w:p>
    <w:p>
      <w:pPr>
        <w:spacing w:line="520" w:lineRule="exact"/>
        <w:ind w:firstLine="600" w:firstLineChars="200"/>
        <w:rPr>
          <w:rFonts w:ascii="仿宋_GB2312" w:hAnsi="仿宋_GB2312" w:eastAsia="仿宋_GB2312" w:cs="仿宋_GB2312"/>
          <w:color w:val="000000"/>
          <w:sz w:val="30"/>
          <w:szCs w:val="30"/>
        </w:rPr>
      </w:pPr>
    </w:p>
    <w:p>
      <w:pPr>
        <w:spacing w:line="520" w:lineRule="exact"/>
        <w:ind w:firstLine="600" w:firstLineChars="200"/>
        <w:rPr>
          <w:rFonts w:ascii="仿宋_GB2312" w:hAnsi="仿宋_GB2312" w:eastAsia="仿宋_GB2312" w:cs="仿宋_GB2312"/>
          <w:color w:val="000000"/>
          <w:sz w:val="30"/>
          <w:szCs w:val="30"/>
        </w:rPr>
      </w:pPr>
    </w:p>
    <w:p>
      <w:pPr>
        <w:spacing w:line="520" w:lineRule="exact"/>
        <w:ind w:firstLine="4521" w:firstLineChars="1413"/>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XXX企业主要负责人:XX</w:t>
      </w:r>
    </w:p>
    <w:p>
      <w:pPr>
        <w:spacing w:line="520" w:lineRule="exact"/>
        <w:ind w:firstLine="5280" w:firstLineChars="16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（企业公章）</w:t>
      </w:r>
    </w:p>
    <w:p>
      <w:pPr>
        <w:spacing w:line="520" w:lineRule="exact"/>
        <w:ind w:firstLine="5600" w:firstLineChars="17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p>
      <w:pPr>
        <w:spacing w:line="520" w:lineRule="exact"/>
        <w:jc w:val="left"/>
        <w:rPr>
          <w:rFonts w:ascii="仿宋_GB2312" w:hAnsi="仿宋_GB2312" w:eastAsia="仿宋_GB2312" w:cs="仿宋_GB2312"/>
          <w:color w:val="000000"/>
          <w:sz w:val="32"/>
          <w:szCs w:val="20"/>
        </w:rPr>
      </w:pPr>
    </w:p>
    <w:p>
      <w:pPr>
        <w:spacing w:line="520" w:lineRule="exact"/>
        <w:jc w:val="center"/>
        <w:rPr>
          <w:rFonts w:ascii="仿宋_GB2312" w:hAnsi="Times New Roman" w:eastAsia="仿宋_GB2312" w:cs="仿宋_GB2312"/>
          <w:color w:val="000000"/>
          <w:sz w:val="28"/>
          <w:szCs w:val="28"/>
          <w:lang w:val="zh-CN"/>
        </w:rPr>
      </w:pPr>
    </w:p>
    <w:p>
      <w:pPr>
        <w:spacing w:line="520" w:lineRule="exact"/>
        <w:jc w:val="center"/>
        <w:rPr>
          <w:rFonts w:ascii="仿宋_GB2312" w:hAnsi="Times New Roman" w:eastAsia="仿宋_GB2312" w:cs="仿宋_GB2312"/>
          <w:color w:val="000000"/>
          <w:sz w:val="28"/>
          <w:szCs w:val="28"/>
          <w:lang w:val="zh-CN"/>
        </w:rPr>
      </w:pPr>
    </w:p>
    <w:p>
      <w:pPr>
        <w:widowControl/>
        <w:spacing w:line="520" w:lineRule="exact"/>
        <w:jc w:val="left"/>
        <w:textAlignment w:val="center"/>
        <w:rPr>
          <w:rFonts w:ascii="方正仿宋_GBK" w:hAnsi="Times New Roman" w:eastAsia="方正仿宋_GBK" w:cs="Times New Roman"/>
          <w:color w:val="000000"/>
          <w:kern w:val="0"/>
          <w:sz w:val="24"/>
          <w:szCs w:val="24"/>
        </w:rPr>
        <w:sectPr>
          <w:footerReference r:id="rId4" w:type="default"/>
          <w:footerReference r:id="rId5" w:type="even"/>
          <w:pgSz w:w="11906" w:h="16838"/>
          <w:pgMar w:top="1440" w:right="1803" w:bottom="1440" w:left="1803" w:header="851" w:footer="1134" w:gutter="0"/>
          <w:pgNumType w:fmt="decimal" w:start="1"/>
          <w:cols w:space="720" w:num="1"/>
          <w:rtlGutter w:val="0"/>
          <w:docGrid w:type="lines" w:linePitch="435" w:charSpace="0"/>
        </w:sectPr>
      </w:pPr>
    </w:p>
    <w:p>
      <w:pPr>
        <w:spacing w:line="520" w:lineRule="exact"/>
        <w:jc w:val="left"/>
        <w:rPr>
          <w:rFonts w:ascii="黑体" w:hAnsi="黑体" w:eastAsia="黑体"/>
          <w:color w:val="000000"/>
          <w:sz w:val="32"/>
          <w:szCs w:val="32"/>
        </w:rPr>
      </w:pPr>
      <w:r>
        <w:rPr>
          <w:rFonts w:hint="eastAsia" w:ascii="黑体" w:hAnsi="黑体" w:eastAsia="黑体"/>
          <w:color w:val="000000"/>
          <w:sz w:val="32"/>
          <w:szCs w:val="32"/>
        </w:rPr>
        <w:t>附件4</w:t>
      </w:r>
    </w:p>
    <w:p>
      <w:pPr>
        <w:widowControl/>
        <w:spacing w:line="520" w:lineRule="exact"/>
        <w:ind w:firstLine="894" w:firstLineChars="20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吉林省健康企业评估表</w:t>
      </w:r>
    </w:p>
    <w:p>
      <w:pPr>
        <w:spacing w:line="520" w:lineRule="exact"/>
        <w:ind w:firstLine="654" w:firstLineChars="200"/>
        <w:rPr>
          <w:rFonts w:ascii="黑体" w:hAnsi="黑体" w:eastAsia="黑体" w:cs="Times New Roman"/>
          <w:color w:val="000000"/>
          <w:sz w:val="30"/>
          <w:szCs w:val="30"/>
        </w:rPr>
      </w:pPr>
      <w:r>
        <w:rPr>
          <w:rFonts w:hint="eastAsia" w:ascii="黑体" w:hAnsi="黑体" w:eastAsia="黑体"/>
          <w:color w:val="000000"/>
          <w:sz w:val="32"/>
          <w:szCs w:val="32"/>
        </w:rPr>
        <w:t>一、基本条件</w:t>
      </w:r>
    </w:p>
    <w:p>
      <w:pPr>
        <w:spacing w:line="520" w:lineRule="exact"/>
        <w:ind w:firstLine="614" w:firstLineChars="200"/>
        <w:rPr>
          <w:rFonts w:ascii="仿宋" w:hAnsi="Times New Roman" w:eastAsia="仿宋_GB2312" w:cs="Times New Roman"/>
          <w:color w:val="000000"/>
          <w:sz w:val="30"/>
          <w:szCs w:val="30"/>
        </w:rPr>
      </w:pPr>
      <w:r>
        <w:rPr>
          <w:rFonts w:hint="eastAsia" w:ascii="仿宋" w:hAnsi="仿宋" w:eastAsia="仿宋_GB2312" w:cs="仿宋"/>
          <w:color w:val="000000"/>
          <w:sz w:val="30"/>
          <w:szCs w:val="30"/>
        </w:rPr>
        <w:t>健康企业需同时满足以下五项基本条件。有一项不符合，则不具备申报资格，停止评估。</w:t>
      </w:r>
    </w:p>
    <w:tbl>
      <w:tblPr>
        <w:tblW w:w="13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9"/>
        <w:gridCol w:w="2086"/>
        <w:gridCol w:w="2231"/>
        <w:gridCol w:w="2343"/>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4169" w:type="dxa"/>
            <w:vAlign w:val="center"/>
          </w:tcPr>
          <w:p>
            <w:pPr>
              <w:widowControl w:val="0"/>
              <w:wordWrap/>
              <w:adjustRightInd/>
              <w:snapToGrid/>
              <w:spacing w:line="240" w:lineRule="exact"/>
              <w:jc w:val="center"/>
              <w:textAlignment w:val="auto"/>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基本条件</w:t>
            </w:r>
          </w:p>
        </w:tc>
        <w:tc>
          <w:tcPr>
            <w:tcW w:w="2086" w:type="dxa"/>
            <w:vAlign w:val="center"/>
          </w:tcPr>
          <w:p>
            <w:pPr>
              <w:widowControl w:val="0"/>
              <w:wordWrap/>
              <w:adjustRightInd/>
              <w:snapToGrid/>
              <w:spacing w:line="240" w:lineRule="exact"/>
              <w:jc w:val="center"/>
              <w:textAlignment w:val="auto"/>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企业自评结果</w:t>
            </w:r>
          </w:p>
        </w:tc>
        <w:tc>
          <w:tcPr>
            <w:tcW w:w="2231" w:type="dxa"/>
            <w:vAlign w:val="center"/>
          </w:tcPr>
          <w:p>
            <w:pPr>
              <w:widowControl w:val="0"/>
              <w:wordWrap/>
              <w:adjustRightInd/>
              <w:snapToGrid/>
              <w:spacing w:line="240" w:lineRule="exact"/>
              <w:jc w:val="center"/>
              <w:textAlignment w:val="auto"/>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县级评估结果</w:t>
            </w:r>
          </w:p>
        </w:tc>
        <w:tc>
          <w:tcPr>
            <w:tcW w:w="2343" w:type="dxa"/>
            <w:vAlign w:val="center"/>
          </w:tcPr>
          <w:p>
            <w:pPr>
              <w:widowControl w:val="0"/>
              <w:wordWrap/>
              <w:adjustRightInd/>
              <w:snapToGrid/>
              <w:spacing w:line="240" w:lineRule="exact"/>
              <w:jc w:val="center"/>
              <w:textAlignment w:val="auto"/>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市级评估结果</w:t>
            </w:r>
          </w:p>
        </w:tc>
        <w:tc>
          <w:tcPr>
            <w:tcW w:w="2210" w:type="dxa"/>
            <w:vAlign w:val="center"/>
          </w:tcPr>
          <w:p>
            <w:pPr>
              <w:widowControl w:val="0"/>
              <w:wordWrap/>
              <w:adjustRightInd/>
              <w:snapToGrid/>
              <w:spacing w:line="240" w:lineRule="exact"/>
              <w:jc w:val="center"/>
              <w:textAlignment w:val="auto"/>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省级评估结果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blHeader/>
          <w:jc w:val="center"/>
        </w:trPr>
        <w:tc>
          <w:tcPr>
            <w:tcW w:w="4169" w:type="dxa"/>
            <w:vAlign w:val="center"/>
          </w:tcPr>
          <w:p>
            <w:pPr>
              <w:widowControl w:val="0"/>
              <w:suppressAutoHyphens/>
              <w:wordWrap/>
              <w:adjustRightInd/>
              <w:snapToGrid/>
              <w:spacing w:line="240" w:lineRule="exact"/>
              <w:textAlignment w:val="auto"/>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1.</w:t>
            </w: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szCs w:val="21"/>
              </w:rPr>
              <w:t>开展争做“职业健康达人”</w:t>
            </w: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szCs w:val="21"/>
              </w:rPr>
              <w:t>/ “健康达人”评选活动。</w:t>
            </w:r>
          </w:p>
        </w:tc>
        <w:tc>
          <w:tcPr>
            <w:tcW w:w="2086" w:type="dxa"/>
            <w:vAlign w:val="center"/>
          </w:tcPr>
          <w:p>
            <w:pPr>
              <w:widowControl w:val="0"/>
              <w:wordWrap/>
              <w:adjustRightInd/>
              <w:snapToGrid/>
              <w:spacing w:line="24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1"/>
              </w:rPr>
              <w:t>符合</w:t>
            </w: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1"/>
              </w:rPr>
              <w:t>不符合</w:t>
            </w:r>
          </w:p>
        </w:tc>
        <w:tc>
          <w:tcPr>
            <w:tcW w:w="2231" w:type="dxa"/>
            <w:vAlign w:val="center"/>
          </w:tcPr>
          <w:p>
            <w:pPr>
              <w:widowControl w:val="0"/>
              <w:wordWrap/>
              <w:adjustRightInd/>
              <w:snapToGrid/>
              <w:spacing w:line="24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1"/>
              </w:rPr>
              <w:t>符合</w:t>
            </w: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1"/>
              </w:rPr>
              <w:t>不符合</w:t>
            </w:r>
          </w:p>
        </w:tc>
        <w:tc>
          <w:tcPr>
            <w:tcW w:w="2343" w:type="dxa"/>
            <w:vAlign w:val="center"/>
          </w:tcPr>
          <w:p>
            <w:pPr>
              <w:widowControl w:val="0"/>
              <w:wordWrap/>
              <w:adjustRightInd/>
              <w:snapToGrid/>
              <w:spacing w:line="24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1"/>
              </w:rPr>
              <w:t>符合</w:t>
            </w: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1"/>
              </w:rPr>
              <w:t>不符合</w:t>
            </w:r>
          </w:p>
        </w:tc>
        <w:tc>
          <w:tcPr>
            <w:tcW w:w="2210" w:type="dxa"/>
            <w:vAlign w:val="center"/>
          </w:tcPr>
          <w:p>
            <w:pPr>
              <w:widowControl w:val="0"/>
              <w:wordWrap/>
              <w:adjustRightInd/>
              <w:snapToGrid/>
              <w:spacing w:line="24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1"/>
              </w:rPr>
              <w:t>符合</w:t>
            </w: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blHeader/>
          <w:jc w:val="center"/>
        </w:trPr>
        <w:tc>
          <w:tcPr>
            <w:tcW w:w="4169" w:type="dxa"/>
            <w:vAlign w:val="center"/>
          </w:tcPr>
          <w:p>
            <w:pPr>
              <w:widowControl w:val="0"/>
              <w:wordWrap/>
              <w:adjustRightInd/>
              <w:snapToGrid/>
              <w:spacing w:line="24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2.近3年内未发生因防控措施不力导致的甲、乙类传染病爆发流行和群体性食源性疾病等事故。</w:t>
            </w:r>
          </w:p>
        </w:tc>
        <w:tc>
          <w:tcPr>
            <w:tcW w:w="2086" w:type="dxa"/>
            <w:vAlign w:val="center"/>
          </w:tcPr>
          <w:p>
            <w:pPr>
              <w:widowControl w:val="0"/>
              <w:wordWrap/>
              <w:adjustRightInd/>
              <w:snapToGrid/>
              <w:spacing w:line="240" w:lineRule="exact"/>
              <w:jc w:val="center"/>
              <w:textAlignment w:val="auto"/>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1"/>
              </w:rPr>
              <w:t>符合</w:t>
            </w: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1"/>
              </w:rPr>
              <w:t>不符合</w:t>
            </w:r>
          </w:p>
        </w:tc>
        <w:tc>
          <w:tcPr>
            <w:tcW w:w="2231" w:type="dxa"/>
            <w:vAlign w:val="center"/>
          </w:tcPr>
          <w:p>
            <w:pPr>
              <w:widowControl w:val="0"/>
              <w:wordWrap/>
              <w:adjustRightInd/>
              <w:snapToGrid/>
              <w:spacing w:line="240" w:lineRule="exact"/>
              <w:jc w:val="center"/>
              <w:textAlignment w:val="auto"/>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1"/>
              </w:rPr>
              <w:t>符合</w:t>
            </w: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1"/>
              </w:rPr>
              <w:t>不符合</w:t>
            </w:r>
          </w:p>
        </w:tc>
        <w:tc>
          <w:tcPr>
            <w:tcW w:w="2343" w:type="dxa"/>
            <w:vAlign w:val="center"/>
          </w:tcPr>
          <w:p>
            <w:pPr>
              <w:widowControl w:val="0"/>
              <w:wordWrap/>
              <w:adjustRightInd/>
              <w:snapToGrid/>
              <w:spacing w:line="240" w:lineRule="exact"/>
              <w:jc w:val="center"/>
              <w:textAlignment w:val="auto"/>
              <w:rPr>
                <w:rFonts w:hint="eastAsia" w:ascii="仿宋_GB2312" w:hAnsi="仿宋_GB2312" w:eastAsia="仿宋_GB2312" w:cs="仿宋_GB2312"/>
                <w:b/>
                <w:bCs/>
                <w:color w:val="000000"/>
                <w:szCs w:val="21"/>
              </w:rPr>
            </w:pP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1"/>
              </w:rPr>
              <w:t>符合</w:t>
            </w: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1"/>
              </w:rPr>
              <w:t>不符合</w:t>
            </w:r>
          </w:p>
        </w:tc>
        <w:tc>
          <w:tcPr>
            <w:tcW w:w="2210" w:type="dxa"/>
            <w:vAlign w:val="center"/>
          </w:tcPr>
          <w:p>
            <w:pPr>
              <w:widowControl w:val="0"/>
              <w:wordWrap/>
              <w:adjustRightInd/>
              <w:snapToGrid/>
              <w:spacing w:line="24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1"/>
              </w:rPr>
              <w:t>符合</w:t>
            </w: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blHeader/>
          <w:jc w:val="center"/>
        </w:trPr>
        <w:tc>
          <w:tcPr>
            <w:tcW w:w="4169" w:type="dxa"/>
            <w:vAlign w:val="center"/>
          </w:tcPr>
          <w:p>
            <w:pPr>
              <w:widowControl w:val="0"/>
              <w:wordWrap/>
              <w:adjustRightInd/>
              <w:snapToGrid/>
              <w:spacing w:line="240" w:lineRule="exact"/>
              <w:textAlignment w:val="auto"/>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3.近3年内未发生重大职业健康安全责任事故。</w:t>
            </w:r>
          </w:p>
        </w:tc>
        <w:tc>
          <w:tcPr>
            <w:tcW w:w="2086" w:type="dxa"/>
            <w:vAlign w:val="center"/>
          </w:tcPr>
          <w:p>
            <w:pPr>
              <w:widowControl w:val="0"/>
              <w:wordWrap/>
              <w:adjustRightInd/>
              <w:snapToGrid/>
              <w:spacing w:line="240" w:lineRule="exact"/>
              <w:jc w:val="center"/>
              <w:textAlignment w:val="auto"/>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1"/>
              </w:rPr>
              <w:t>符合</w:t>
            </w: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1"/>
              </w:rPr>
              <w:t>不符合</w:t>
            </w:r>
          </w:p>
        </w:tc>
        <w:tc>
          <w:tcPr>
            <w:tcW w:w="2231" w:type="dxa"/>
            <w:vAlign w:val="center"/>
          </w:tcPr>
          <w:p>
            <w:pPr>
              <w:widowControl w:val="0"/>
              <w:wordWrap/>
              <w:adjustRightInd/>
              <w:snapToGrid/>
              <w:spacing w:line="240" w:lineRule="exact"/>
              <w:jc w:val="center"/>
              <w:textAlignment w:val="auto"/>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1"/>
              </w:rPr>
              <w:t>符合</w:t>
            </w: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1"/>
              </w:rPr>
              <w:t>不符合</w:t>
            </w:r>
          </w:p>
        </w:tc>
        <w:tc>
          <w:tcPr>
            <w:tcW w:w="2343" w:type="dxa"/>
            <w:vAlign w:val="center"/>
          </w:tcPr>
          <w:p>
            <w:pPr>
              <w:widowControl w:val="0"/>
              <w:wordWrap/>
              <w:adjustRightInd/>
              <w:snapToGrid/>
              <w:spacing w:line="24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1"/>
              </w:rPr>
              <w:t>符合</w:t>
            </w: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1"/>
              </w:rPr>
              <w:t>不符合</w:t>
            </w:r>
          </w:p>
        </w:tc>
        <w:tc>
          <w:tcPr>
            <w:tcW w:w="2210" w:type="dxa"/>
            <w:vAlign w:val="center"/>
          </w:tcPr>
          <w:p>
            <w:pPr>
              <w:widowControl w:val="0"/>
              <w:wordWrap/>
              <w:adjustRightInd/>
              <w:snapToGrid/>
              <w:spacing w:line="24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1"/>
              </w:rPr>
              <w:t>符合</w:t>
            </w: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blHeader/>
          <w:jc w:val="center"/>
        </w:trPr>
        <w:tc>
          <w:tcPr>
            <w:tcW w:w="4169" w:type="dxa"/>
            <w:vAlign w:val="center"/>
          </w:tcPr>
          <w:p>
            <w:pPr>
              <w:widowControl w:val="0"/>
              <w:wordWrap/>
              <w:adjustRightInd/>
              <w:snapToGrid/>
              <w:spacing w:line="240" w:lineRule="exact"/>
              <w:textAlignment w:val="auto"/>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4.近3年内未发生企业过失造成的重大突发环境事件。</w:t>
            </w:r>
          </w:p>
        </w:tc>
        <w:tc>
          <w:tcPr>
            <w:tcW w:w="2086" w:type="dxa"/>
            <w:vAlign w:val="center"/>
          </w:tcPr>
          <w:p>
            <w:pPr>
              <w:widowControl w:val="0"/>
              <w:wordWrap/>
              <w:adjustRightInd/>
              <w:snapToGrid/>
              <w:spacing w:line="240" w:lineRule="exact"/>
              <w:jc w:val="center"/>
              <w:textAlignment w:val="auto"/>
              <w:rPr>
                <w:rFonts w:hint="eastAsia" w:ascii="仿宋_GB2312" w:hAnsi="仿宋_GB2312" w:eastAsia="仿宋_GB2312" w:cs="仿宋_GB2312"/>
                <w:color w:val="000000"/>
                <w:szCs w:val="20"/>
              </w:rPr>
            </w:pP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0"/>
              </w:rPr>
              <w:t>符合</w:t>
            </w: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0"/>
              </w:rPr>
              <w:t>不符合</w:t>
            </w:r>
          </w:p>
        </w:tc>
        <w:tc>
          <w:tcPr>
            <w:tcW w:w="2231" w:type="dxa"/>
            <w:vAlign w:val="center"/>
          </w:tcPr>
          <w:p>
            <w:pPr>
              <w:widowControl w:val="0"/>
              <w:wordWrap/>
              <w:adjustRightInd/>
              <w:snapToGrid/>
              <w:spacing w:line="240" w:lineRule="exact"/>
              <w:jc w:val="center"/>
              <w:textAlignment w:val="auto"/>
              <w:rPr>
                <w:rFonts w:hint="eastAsia" w:ascii="仿宋_GB2312" w:hAnsi="仿宋_GB2312" w:eastAsia="仿宋_GB2312" w:cs="仿宋_GB2312"/>
                <w:color w:val="000000"/>
                <w:szCs w:val="20"/>
              </w:rPr>
            </w:pP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0"/>
              </w:rPr>
              <w:t>符合</w:t>
            </w: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0"/>
              </w:rPr>
              <w:t>不符合</w:t>
            </w:r>
          </w:p>
        </w:tc>
        <w:tc>
          <w:tcPr>
            <w:tcW w:w="2343" w:type="dxa"/>
            <w:vAlign w:val="center"/>
          </w:tcPr>
          <w:p>
            <w:pPr>
              <w:widowControl w:val="0"/>
              <w:wordWrap/>
              <w:adjustRightInd/>
              <w:snapToGrid/>
              <w:spacing w:line="240" w:lineRule="exact"/>
              <w:jc w:val="center"/>
              <w:textAlignment w:val="auto"/>
              <w:rPr>
                <w:rFonts w:hint="eastAsia" w:ascii="仿宋_GB2312" w:hAnsi="仿宋_GB2312" w:eastAsia="仿宋_GB2312" w:cs="仿宋_GB2312"/>
                <w:color w:val="000000"/>
                <w:szCs w:val="20"/>
              </w:rPr>
            </w:pP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0"/>
              </w:rPr>
              <w:t>符合</w:t>
            </w: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0"/>
              </w:rPr>
              <w:t>不符合</w:t>
            </w:r>
          </w:p>
        </w:tc>
        <w:tc>
          <w:tcPr>
            <w:tcW w:w="2210" w:type="dxa"/>
            <w:vAlign w:val="center"/>
          </w:tcPr>
          <w:p>
            <w:pPr>
              <w:widowControl w:val="0"/>
              <w:wordWrap/>
              <w:adjustRightInd/>
              <w:snapToGrid/>
              <w:spacing w:line="240" w:lineRule="exact"/>
              <w:jc w:val="center"/>
              <w:textAlignment w:val="auto"/>
              <w:rPr>
                <w:rFonts w:hint="eastAsia" w:ascii="仿宋_GB2312" w:hAnsi="仿宋_GB2312" w:eastAsia="仿宋_GB2312" w:cs="仿宋_GB2312"/>
                <w:color w:val="000000"/>
                <w:szCs w:val="20"/>
              </w:rPr>
            </w:pP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0"/>
              </w:rPr>
              <w:t>符合</w:t>
            </w: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blHeader/>
          <w:jc w:val="center"/>
        </w:trPr>
        <w:tc>
          <w:tcPr>
            <w:tcW w:w="4169" w:type="dxa"/>
            <w:vAlign w:val="center"/>
          </w:tcPr>
          <w:p>
            <w:pPr>
              <w:widowControl w:val="0"/>
              <w:wordWrap/>
              <w:adjustRightInd/>
              <w:snapToGrid/>
              <w:spacing w:line="240" w:lineRule="exact"/>
              <w:textAlignment w:val="auto"/>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5.近3年未发现接尘工龄不足５年的劳动者新发尘肺病</w:t>
            </w:r>
          </w:p>
        </w:tc>
        <w:tc>
          <w:tcPr>
            <w:tcW w:w="2086" w:type="dxa"/>
            <w:vAlign w:val="center"/>
          </w:tcPr>
          <w:p>
            <w:pPr>
              <w:widowControl w:val="0"/>
              <w:wordWrap/>
              <w:adjustRightInd/>
              <w:snapToGrid/>
              <w:spacing w:line="240" w:lineRule="exact"/>
              <w:jc w:val="center"/>
              <w:textAlignment w:val="auto"/>
              <w:rPr>
                <w:rFonts w:hint="eastAsia" w:ascii="仿宋_GB2312" w:hAnsi="仿宋_GB2312" w:eastAsia="仿宋_GB2312" w:cs="仿宋_GB2312"/>
                <w:color w:val="000000"/>
                <w:szCs w:val="20"/>
              </w:rPr>
            </w:pPr>
            <w:r>
              <w:rPr>
                <w:rFonts w:hint="eastAsia" w:ascii="仿宋_GB2312" w:hAnsi="仿宋_GB2312" w:eastAsia="仿宋_GB2312" w:cs="仿宋_GB2312"/>
                <w:color w:val="000000"/>
                <w:szCs w:val="20"/>
              </w:rPr>
              <w:sym w:font="Wingdings 2" w:char="0052"/>
            </w:r>
            <w:r>
              <w:rPr>
                <w:rFonts w:hint="eastAsia" w:ascii="仿宋_GB2312" w:hAnsi="仿宋_GB2312" w:eastAsia="仿宋_GB2312" w:cs="仿宋_GB2312"/>
                <w:color w:val="000000"/>
                <w:szCs w:val="20"/>
              </w:rPr>
              <w:t>符合</w:t>
            </w: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0"/>
              </w:rPr>
              <w:t>不符合</w:t>
            </w:r>
          </w:p>
        </w:tc>
        <w:tc>
          <w:tcPr>
            <w:tcW w:w="2231" w:type="dxa"/>
            <w:vAlign w:val="center"/>
          </w:tcPr>
          <w:p>
            <w:pPr>
              <w:widowControl w:val="0"/>
              <w:wordWrap/>
              <w:adjustRightInd/>
              <w:snapToGrid/>
              <w:spacing w:line="240" w:lineRule="exact"/>
              <w:jc w:val="center"/>
              <w:textAlignment w:val="auto"/>
              <w:rPr>
                <w:rFonts w:hint="eastAsia" w:ascii="仿宋_GB2312" w:hAnsi="仿宋_GB2312" w:eastAsia="仿宋_GB2312" w:cs="仿宋_GB2312"/>
                <w:color w:val="000000"/>
                <w:szCs w:val="20"/>
              </w:rPr>
            </w:pP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0"/>
              </w:rPr>
              <w:t>符合</w:t>
            </w: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0"/>
              </w:rPr>
              <w:t>不符合</w:t>
            </w:r>
          </w:p>
        </w:tc>
        <w:tc>
          <w:tcPr>
            <w:tcW w:w="2343" w:type="dxa"/>
            <w:vAlign w:val="center"/>
          </w:tcPr>
          <w:p>
            <w:pPr>
              <w:widowControl w:val="0"/>
              <w:wordWrap/>
              <w:adjustRightInd/>
              <w:snapToGrid/>
              <w:spacing w:line="240" w:lineRule="exact"/>
              <w:jc w:val="center"/>
              <w:textAlignment w:val="auto"/>
              <w:rPr>
                <w:rFonts w:hint="eastAsia" w:ascii="仿宋_GB2312" w:hAnsi="仿宋_GB2312" w:eastAsia="仿宋_GB2312" w:cs="仿宋_GB2312"/>
                <w:color w:val="000000"/>
                <w:szCs w:val="20"/>
              </w:rPr>
            </w:pP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0"/>
              </w:rPr>
              <w:t>符合</w:t>
            </w: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0"/>
              </w:rPr>
              <w:t>不符合</w:t>
            </w:r>
          </w:p>
        </w:tc>
        <w:tc>
          <w:tcPr>
            <w:tcW w:w="2210" w:type="dxa"/>
            <w:vAlign w:val="center"/>
          </w:tcPr>
          <w:p>
            <w:pPr>
              <w:widowControl w:val="0"/>
              <w:wordWrap/>
              <w:adjustRightInd/>
              <w:snapToGrid/>
              <w:spacing w:line="240" w:lineRule="exact"/>
              <w:jc w:val="center"/>
              <w:textAlignment w:val="auto"/>
              <w:rPr>
                <w:rFonts w:hint="eastAsia" w:ascii="仿宋_GB2312" w:hAnsi="仿宋_GB2312" w:eastAsia="仿宋_GB2312" w:cs="仿宋_GB2312"/>
                <w:color w:val="000000"/>
                <w:szCs w:val="20"/>
              </w:rPr>
            </w:pP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0"/>
              </w:rPr>
              <w:t>符合</w:t>
            </w: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0"/>
              </w:rPr>
              <w:t>不符合</w:t>
            </w:r>
          </w:p>
        </w:tc>
      </w:tr>
    </w:tbl>
    <w:p>
      <w:pPr>
        <w:widowControl w:val="0"/>
        <w:wordWrap/>
        <w:adjustRightInd/>
        <w:snapToGrid/>
        <w:spacing w:line="520" w:lineRule="exact"/>
        <w:ind w:firstLine="434" w:firstLineChars="200"/>
        <w:textAlignment w:val="auto"/>
        <w:rPr>
          <w:rFonts w:ascii="黑体" w:hAnsi="黑体" w:eastAsia="黑体"/>
          <w:color w:val="000000"/>
          <w:sz w:val="32"/>
          <w:szCs w:val="32"/>
        </w:rPr>
      </w:pPr>
      <w:r>
        <w:rPr>
          <w:rFonts w:ascii="仿宋" w:hAnsi="Times New Roman" w:eastAsia="仿宋_GB2312" w:cs="Times New Roman"/>
          <w:color w:val="000000"/>
          <w:kern w:val="0"/>
          <w:szCs w:val="21"/>
        </w:rPr>
        <w:br w:type="page"/>
      </w:r>
      <w:r>
        <w:rPr>
          <w:rFonts w:hint="eastAsia" w:ascii="黑体" w:hAnsi="黑体" w:eastAsia="黑体"/>
          <w:color w:val="000000"/>
          <w:kern w:val="0"/>
          <w:sz w:val="32"/>
          <w:szCs w:val="32"/>
        </w:rPr>
        <w:t>二、</w:t>
      </w:r>
      <w:r>
        <w:rPr>
          <w:rFonts w:hint="eastAsia" w:ascii="黑体" w:hAnsi="黑体" w:eastAsia="黑体"/>
          <w:color w:val="000000"/>
          <w:sz w:val="32"/>
          <w:szCs w:val="32"/>
        </w:rPr>
        <w:t>具体指标及赋分标准</w:t>
      </w:r>
    </w:p>
    <w:tbl>
      <w:tblPr>
        <w:tblW w:w="13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49"/>
        <w:gridCol w:w="969"/>
        <w:gridCol w:w="2062"/>
        <w:gridCol w:w="675"/>
        <w:gridCol w:w="1041"/>
        <w:gridCol w:w="1328"/>
        <w:gridCol w:w="3180"/>
        <w:gridCol w:w="669"/>
        <w:gridCol w:w="670"/>
        <w:gridCol w:w="670"/>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70" w:hRule="atLeast"/>
          <w:tblHeader/>
          <w:jc w:val="center"/>
        </w:trPr>
        <w:tc>
          <w:tcPr>
            <w:tcW w:w="649"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szCs w:val="21"/>
              </w:rPr>
              <w:t>一级</w:t>
            </w:r>
          </w:p>
          <w:p>
            <w:pPr>
              <w:widowControl w:val="0"/>
              <w:wordWrap/>
              <w:adjustRightInd/>
              <w:snapToGrid/>
              <w:spacing w:line="260" w:lineRule="exact"/>
              <w:jc w:val="center"/>
              <w:textAlignment w:val="auto"/>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szCs w:val="21"/>
              </w:rPr>
              <w:t>指标</w:t>
            </w:r>
          </w:p>
        </w:tc>
        <w:tc>
          <w:tcPr>
            <w:tcW w:w="969"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szCs w:val="21"/>
              </w:rPr>
              <w:t>二级</w:t>
            </w:r>
          </w:p>
          <w:p>
            <w:pPr>
              <w:widowControl w:val="0"/>
              <w:wordWrap/>
              <w:adjustRightInd/>
              <w:snapToGrid/>
              <w:spacing w:line="260" w:lineRule="exact"/>
              <w:jc w:val="center"/>
              <w:textAlignment w:val="auto"/>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szCs w:val="21"/>
              </w:rPr>
              <w:t>指标</w:t>
            </w:r>
          </w:p>
        </w:tc>
        <w:tc>
          <w:tcPr>
            <w:tcW w:w="2062"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szCs w:val="21"/>
              </w:rPr>
              <w:t>三级指标</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szCs w:val="21"/>
              </w:rPr>
              <w:t>分值</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szCs w:val="21"/>
              </w:rPr>
              <w:t>评估方式</w:t>
            </w:r>
          </w:p>
        </w:tc>
        <w:tc>
          <w:tcPr>
            <w:tcW w:w="4508" w:type="dxa"/>
            <w:gridSpan w:val="2"/>
            <w:vAlign w:val="center"/>
          </w:tcPr>
          <w:p>
            <w:pPr>
              <w:widowControl w:val="0"/>
              <w:wordWrap/>
              <w:adjustRightInd/>
              <w:snapToGrid/>
              <w:spacing w:line="260" w:lineRule="exact"/>
              <w:jc w:val="center"/>
              <w:textAlignment w:val="auto"/>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szCs w:val="21"/>
              </w:rPr>
              <w:t>赋分标准</w:t>
            </w:r>
          </w:p>
        </w:tc>
        <w:tc>
          <w:tcPr>
            <w:tcW w:w="669" w:type="dxa"/>
            <w:vAlign w:val="center"/>
          </w:tcPr>
          <w:p>
            <w:pPr>
              <w:widowControl w:val="0"/>
              <w:wordWrap/>
              <w:adjustRightInd/>
              <w:snapToGrid/>
              <w:spacing w:line="260" w:lineRule="exact"/>
              <w:ind w:left="660" w:hanging="657" w:hangingChars="303"/>
              <w:jc w:val="center"/>
              <w:textAlignment w:val="auto"/>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szCs w:val="21"/>
              </w:rPr>
              <w:t>自评</w:t>
            </w:r>
          </w:p>
          <w:p>
            <w:pPr>
              <w:widowControl w:val="0"/>
              <w:wordWrap/>
              <w:adjustRightInd/>
              <w:snapToGrid/>
              <w:spacing w:line="260" w:lineRule="exact"/>
              <w:ind w:left="660" w:hanging="657" w:hangingChars="303"/>
              <w:jc w:val="center"/>
              <w:textAlignment w:val="auto"/>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szCs w:val="21"/>
              </w:rPr>
              <w:t>得分</w:t>
            </w:r>
          </w:p>
        </w:tc>
        <w:tc>
          <w:tcPr>
            <w:tcW w:w="670"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szCs w:val="21"/>
              </w:rPr>
              <w:t>县级</w:t>
            </w:r>
          </w:p>
          <w:p>
            <w:pPr>
              <w:widowControl w:val="0"/>
              <w:wordWrap/>
              <w:adjustRightInd/>
              <w:snapToGrid/>
              <w:spacing w:line="260" w:lineRule="exact"/>
              <w:ind w:left="660" w:hanging="657" w:hangingChars="303"/>
              <w:jc w:val="center"/>
              <w:textAlignment w:val="auto"/>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szCs w:val="21"/>
              </w:rPr>
              <w:t>评分</w:t>
            </w:r>
          </w:p>
        </w:tc>
        <w:tc>
          <w:tcPr>
            <w:tcW w:w="670" w:type="dxa"/>
            <w:vAlign w:val="center"/>
          </w:tcPr>
          <w:p>
            <w:pPr>
              <w:widowControl w:val="0"/>
              <w:wordWrap/>
              <w:adjustRightInd/>
              <w:snapToGrid/>
              <w:spacing w:line="260" w:lineRule="exact"/>
              <w:ind w:left="660" w:hanging="657" w:hangingChars="303"/>
              <w:jc w:val="center"/>
              <w:textAlignment w:val="auto"/>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szCs w:val="21"/>
              </w:rPr>
              <w:t>市级</w:t>
            </w:r>
          </w:p>
          <w:p>
            <w:pPr>
              <w:widowControl w:val="0"/>
              <w:wordWrap/>
              <w:adjustRightInd/>
              <w:snapToGrid/>
              <w:spacing w:line="260" w:lineRule="exact"/>
              <w:ind w:left="660" w:hanging="657" w:hangingChars="303"/>
              <w:jc w:val="center"/>
              <w:textAlignment w:val="auto"/>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szCs w:val="21"/>
              </w:rPr>
              <w:t>评分</w:t>
            </w:r>
          </w:p>
        </w:tc>
        <w:tc>
          <w:tcPr>
            <w:tcW w:w="1126" w:type="dxa"/>
            <w:vAlign w:val="center"/>
          </w:tcPr>
          <w:p>
            <w:pPr>
              <w:widowControl w:val="0"/>
              <w:wordWrap/>
              <w:adjustRightInd/>
              <w:snapToGrid/>
              <w:spacing w:line="260" w:lineRule="exact"/>
              <w:ind w:left="660" w:hanging="657" w:hangingChars="303"/>
              <w:jc w:val="center"/>
              <w:textAlignment w:val="auto"/>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szCs w:val="21"/>
              </w:rPr>
              <w:t>省级评估</w:t>
            </w:r>
          </w:p>
          <w:p>
            <w:pPr>
              <w:widowControl w:val="0"/>
              <w:wordWrap/>
              <w:adjustRightInd/>
              <w:snapToGrid/>
              <w:spacing w:line="260" w:lineRule="exact"/>
              <w:ind w:left="660" w:hanging="657" w:hangingChars="303"/>
              <w:jc w:val="center"/>
              <w:textAlignment w:val="auto"/>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szCs w:val="21"/>
              </w:rPr>
              <w:t>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649" w:type="dxa"/>
            <w:vMerge w:val="restart"/>
            <w:textDirection w:val="tbRlV"/>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管理制度（200分）</w:t>
            </w:r>
          </w:p>
        </w:tc>
        <w:tc>
          <w:tcPr>
            <w:tcW w:w="969" w:type="dxa"/>
            <w:vMerge w:val="restart"/>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组织</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保障</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（40分）</w:t>
            </w:r>
          </w:p>
        </w:tc>
        <w:tc>
          <w:tcPr>
            <w:tcW w:w="2062"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1.成立健康企业建设工作领导小组，由主要领导担任负责人。</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20分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tc>
        <w:tc>
          <w:tcPr>
            <w:tcW w:w="4508" w:type="dxa"/>
            <w:gridSpan w:val="2"/>
            <w:vAlign w:val="top"/>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未以</w:t>
            </w:r>
            <w:bookmarkStart w:id="0" w:name="_Hlk37675409"/>
            <w:r>
              <w:rPr>
                <w:rFonts w:hint="eastAsia" w:ascii="仿宋_GB2312" w:hAnsi="仿宋_GB2312" w:eastAsia="仿宋_GB2312" w:cs="仿宋_GB2312"/>
                <w:color w:val="000000"/>
                <w:szCs w:val="21"/>
              </w:rPr>
              <w:t>文件形式确认，扣5分；负责人非法</w:t>
            </w:r>
            <w:bookmarkEnd w:id="0"/>
            <w:r>
              <w:rPr>
                <w:rFonts w:hint="eastAsia" w:ascii="仿宋_GB2312" w:hAnsi="仿宋_GB2312" w:eastAsia="仿宋_GB2312" w:cs="仿宋_GB2312"/>
                <w:color w:val="000000"/>
                <w:szCs w:val="21"/>
              </w:rPr>
              <w:t>定代表人或法人委托人担任，扣5分；领导小组成员视覆盖主要部门程度，扣1-5分；每年未召开1次以上专题会议部署健康企业建设工作，扣5分；未成立，不得分。</w:t>
            </w:r>
          </w:p>
        </w:tc>
        <w:tc>
          <w:tcPr>
            <w:tcW w:w="669"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right="60" w:rightChars="28" w:firstLine="637" w:firstLineChars="294"/>
              <w:jc w:val="center"/>
              <w:textAlignment w:val="auto"/>
              <w:rPr>
                <w:rFonts w:hint="eastAsia" w:ascii="仿宋_GB2312" w:hAnsi="仿宋_GB2312" w:eastAsia="仿宋_GB2312" w:cs="仿宋_GB2312"/>
                <w:color w:val="000000"/>
                <w:szCs w:val="21"/>
              </w:rPr>
            </w:pPr>
          </w:p>
        </w:tc>
        <w:tc>
          <w:tcPr>
            <w:tcW w:w="1126" w:type="dxa"/>
            <w:vAlign w:val="top"/>
          </w:tcPr>
          <w:p>
            <w:pPr>
              <w:widowControl w:val="0"/>
              <w:wordWrap/>
              <w:adjustRightInd/>
              <w:snapToGrid/>
              <w:spacing w:line="260" w:lineRule="exact"/>
              <w:ind w:left="-423" w:leftChars="-195" w:right="60" w:rightChars="28"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49" w:type="dxa"/>
            <w:vMerge w:val="continue"/>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continue"/>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p>
        </w:tc>
        <w:tc>
          <w:tcPr>
            <w:tcW w:w="2062"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2.明确健康企业建设管理部门及职责。</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20分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现场勘察</w:t>
            </w:r>
          </w:p>
        </w:tc>
        <w:tc>
          <w:tcPr>
            <w:tcW w:w="4508" w:type="dxa"/>
            <w:gridSpan w:val="2"/>
            <w:vAlign w:val="top"/>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未以文件形式确认，扣10分；无独立的建设管理部门，扣2分；无固定的办公场所，扣3分；工作职责不明确具体，扣5分；无管理部门，不得分。</w:t>
            </w:r>
          </w:p>
        </w:tc>
        <w:tc>
          <w:tcPr>
            <w:tcW w:w="669"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49" w:type="dxa"/>
            <w:vMerge w:val="continue"/>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人员</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保障</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（20分）</w:t>
            </w:r>
          </w:p>
        </w:tc>
        <w:tc>
          <w:tcPr>
            <w:tcW w:w="2062"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3.配备健康企业建设专/兼职管理人员。</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20分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tc>
        <w:tc>
          <w:tcPr>
            <w:tcW w:w="4508" w:type="dxa"/>
            <w:gridSpan w:val="2"/>
            <w:vAlign w:val="top"/>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未以文件确认，扣5分；配备专/兼职管理人员人数不符和要求（500人以上配至少1名专职人员，500人以下不少于1名专兼职人员），扣5分；职责任务欠明确、具体，扣5分；健康企业建设工作网络未深入到班组的，扣5分；未配备，不得分。</w:t>
            </w:r>
          </w:p>
        </w:tc>
        <w:tc>
          <w:tcPr>
            <w:tcW w:w="669"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49" w:type="dxa"/>
            <w:vMerge w:val="continue"/>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restart"/>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制度</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保障</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（60分）</w:t>
            </w:r>
          </w:p>
        </w:tc>
        <w:tc>
          <w:tcPr>
            <w:tcW w:w="2062"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4.制订健康企业工作计划及实施方案。</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15分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tc>
        <w:tc>
          <w:tcPr>
            <w:tcW w:w="4508" w:type="dxa"/>
            <w:gridSpan w:val="2"/>
            <w:vAlign w:val="top"/>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缺工作计划或配套实施方案，一项扣10分；计划或实施方案欠规范和具体，一项扣5分。</w:t>
            </w:r>
          </w:p>
        </w:tc>
        <w:tc>
          <w:tcPr>
            <w:tcW w:w="669"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49" w:type="dxa"/>
            <w:vMerge w:val="continue"/>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continue"/>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p>
        </w:tc>
        <w:tc>
          <w:tcPr>
            <w:tcW w:w="2062"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5.建立、完善与劳动者健康相关的各项制度。</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30分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tc>
        <w:tc>
          <w:tcPr>
            <w:tcW w:w="4508" w:type="dxa"/>
            <w:gridSpan w:val="2"/>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包括国家卫生健康委令第5号规定的制度及无烟单位制度、女职工保护制度、健康促进与教育制度等。每缺一项制度，扣1分；未以发文、公章等形式确认，每一制度扣0.5分；未及时根据最新相关法律法规进行完善和修订，每一制度扣0.5分；针对性不强，扣5分。</w:t>
            </w:r>
          </w:p>
        </w:tc>
        <w:tc>
          <w:tcPr>
            <w:tcW w:w="669"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49" w:type="dxa"/>
            <w:vMerge w:val="continue"/>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continue"/>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p>
        </w:tc>
        <w:tc>
          <w:tcPr>
            <w:tcW w:w="2062"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6.落实企业民主协商制度，建立全体员工共同参与健康企业建设的协商协调机制，构建和谐劳动关系。</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15分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访谈</w:t>
            </w:r>
          </w:p>
        </w:tc>
        <w:tc>
          <w:tcPr>
            <w:tcW w:w="4508" w:type="dxa"/>
            <w:gridSpan w:val="2"/>
            <w:vAlign w:val="top"/>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无协商制度，不得分；无协调机制，扣5分；该制度或机制未以发文或会议纪要等形式确认，扣5分；无健康企业建设协商运行的痕迹，扣5分。</w:t>
            </w:r>
          </w:p>
        </w:tc>
        <w:tc>
          <w:tcPr>
            <w:tcW w:w="669"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05" w:hRule="atLeast"/>
          <w:jc w:val="center"/>
        </w:trPr>
        <w:tc>
          <w:tcPr>
            <w:tcW w:w="649" w:type="dxa"/>
            <w:vMerge w:val="continue"/>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经费</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保障</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（20分）</w:t>
            </w:r>
          </w:p>
        </w:tc>
        <w:tc>
          <w:tcPr>
            <w:tcW w:w="2062"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7.设立健康企业建设专项工作经费，专款专用。</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20分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访谈</w:t>
            </w:r>
          </w:p>
        </w:tc>
        <w:tc>
          <w:tcPr>
            <w:tcW w:w="4508" w:type="dxa"/>
            <w:gridSpan w:val="2"/>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未设立专项经费，不得分；专款未专用，扣10分；经费不能满足健康企业建设专项工作需要，包括办公、健康检查、健康宣教、健康评估评价、健康相关设施设置与维护等，一项扣4分。</w:t>
            </w:r>
          </w:p>
        </w:tc>
        <w:tc>
          <w:tcPr>
            <w:tcW w:w="669"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86" w:hRule="atLeast"/>
          <w:jc w:val="center"/>
        </w:trPr>
        <w:tc>
          <w:tcPr>
            <w:tcW w:w="649" w:type="dxa"/>
            <w:vMerge w:val="continue"/>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restart"/>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合同及参保情况（40分）</w:t>
            </w:r>
          </w:p>
        </w:tc>
        <w:tc>
          <w:tcPr>
            <w:tcW w:w="2062"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8.依法与劳动者签订劳动合同。</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15分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tc>
        <w:tc>
          <w:tcPr>
            <w:tcW w:w="4508" w:type="dxa"/>
            <w:gridSpan w:val="2"/>
            <w:vAlign w:val="top"/>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95%&gt;签订劳动合同人数比例≥70%，相应扣1-5分；随机抽查10例（含各形式用工人员），1例未签扣2分；合同欠规范，职业病危害内容欠明确，1例扣1分。</w:t>
            </w:r>
          </w:p>
        </w:tc>
        <w:tc>
          <w:tcPr>
            <w:tcW w:w="669"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6" w:hRule="atLeast"/>
          <w:jc w:val="center"/>
        </w:trPr>
        <w:tc>
          <w:tcPr>
            <w:tcW w:w="649" w:type="dxa"/>
            <w:vMerge w:val="continue"/>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continue"/>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p>
        </w:tc>
        <w:tc>
          <w:tcPr>
            <w:tcW w:w="2062"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9.按时、足额缴纳工伤保险保费。</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15分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tc>
        <w:tc>
          <w:tcPr>
            <w:tcW w:w="4508" w:type="dxa"/>
            <w:gridSpan w:val="2"/>
            <w:vAlign w:val="top"/>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随机抽查10例（含各形式用工人员），1例未规范缴纳扣2分，扣完为止。</w:t>
            </w:r>
          </w:p>
        </w:tc>
        <w:tc>
          <w:tcPr>
            <w:tcW w:w="669"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49" w:type="dxa"/>
            <w:vMerge w:val="continue"/>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continue"/>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p>
        </w:tc>
        <w:tc>
          <w:tcPr>
            <w:tcW w:w="2062"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10.</w:t>
            </w:r>
            <w:r>
              <w:rPr>
                <w:rFonts w:hint="eastAsia" w:ascii="仿宋_GB2312" w:hAnsi="仿宋_GB2312" w:eastAsia="仿宋_GB2312" w:cs="仿宋_GB2312"/>
              </w:rPr>
              <w:t xml:space="preserve"> 按时、足额缴纳职工基本</w:t>
            </w:r>
            <w:r>
              <w:rPr>
                <w:rFonts w:hint="eastAsia" w:ascii="仿宋_GB2312" w:hAnsi="仿宋_GB2312" w:eastAsia="仿宋_GB2312" w:cs="仿宋_GB2312"/>
                <w:color w:val="000000"/>
                <w:szCs w:val="21"/>
              </w:rPr>
              <w:t>医疗保险和生育保险费。</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10分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tc>
        <w:tc>
          <w:tcPr>
            <w:tcW w:w="4508" w:type="dxa"/>
            <w:gridSpan w:val="2"/>
            <w:vAlign w:val="top"/>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实际缴纳人数与员工总人数（含各形式用工人员）比例每减少10%，视情况扣1分。</w:t>
            </w:r>
          </w:p>
        </w:tc>
        <w:tc>
          <w:tcPr>
            <w:tcW w:w="669"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27" w:hRule="atLeast"/>
          <w:jc w:val="center"/>
        </w:trPr>
        <w:tc>
          <w:tcPr>
            <w:tcW w:w="649" w:type="dxa"/>
            <w:vMerge w:val="continue"/>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全员</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参与</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（20分）</w:t>
            </w:r>
          </w:p>
        </w:tc>
        <w:tc>
          <w:tcPr>
            <w:tcW w:w="2062"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11.采取多种措施，调动员工积极参与健康企业建设。</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20分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访谈</w:t>
            </w:r>
          </w:p>
        </w:tc>
        <w:tc>
          <w:tcPr>
            <w:tcW w:w="4508" w:type="dxa"/>
            <w:gridSpan w:val="2"/>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建言献策、参与活动的激励措施需三种以上，缺一种扣5分；活动目标人群参与率90%以上，每降低10%，扣2分。</w:t>
            </w:r>
          </w:p>
        </w:tc>
        <w:tc>
          <w:tcPr>
            <w:tcW w:w="669"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66" w:hRule="atLeast"/>
          <w:jc w:val="center"/>
        </w:trPr>
        <w:tc>
          <w:tcPr>
            <w:tcW w:w="649" w:type="dxa"/>
            <w:vMerge w:val="restart"/>
            <w:textDirection w:val="tbRlV"/>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健康环境（250分）</w:t>
            </w:r>
          </w:p>
        </w:tc>
        <w:tc>
          <w:tcPr>
            <w:tcW w:w="969" w:type="dxa"/>
            <w:vMerge w:val="restart"/>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一般</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环境（170分）</w:t>
            </w:r>
          </w:p>
        </w:tc>
        <w:tc>
          <w:tcPr>
            <w:tcW w:w="2062"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12.基础设施完善。</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20分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现场勘察</w:t>
            </w:r>
          </w:p>
        </w:tc>
        <w:tc>
          <w:tcPr>
            <w:tcW w:w="4508" w:type="dxa"/>
            <w:gridSpan w:val="2"/>
            <w:vAlign w:val="top"/>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（1）工业企业：厂区道路硬化、平坦、整洁、卫生，无乱堆乱停，1项不符合扣2分；缺阅览室，扣5分；生产生活卫生辅助用室，5分，缺1项扣1分，扣完为止。</w:t>
            </w:r>
          </w:p>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（2）非工业企业、租赁办公楼的企业：缺阅览室，扣10分；缺必要的休息室或茶歇区，扣10分。</w:t>
            </w:r>
          </w:p>
        </w:tc>
        <w:tc>
          <w:tcPr>
            <w:tcW w:w="669"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1" w:hRule="atLeast"/>
          <w:jc w:val="center"/>
        </w:trPr>
        <w:tc>
          <w:tcPr>
            <w:tcW w:w="649" w:type="dxa"/>
            <w:vMerge w:val="continue"/>
            <w:textDirection w:val="tbRlV"/>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continue"/>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p>
        </w:tc>
        <w:tc>
          <w:tcPr>
            <w:tcW w:w="2062"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13.生产环境布局合理，生产布局符合国家相关标准要求。</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20分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现场勘察</w:t>
            </w:r>
          </w:p>
        </w:tc>
        <w:tc>
          <w:tcPr>
            <w:tcW w:w="4508" w:type="dxa"/>
            <w:gridSpan w:val="2"/>
            <w:vAlign w:val="top"/>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平面布置布局功能分区明确、有害与无害作业分开、工作场所与生活场所分开、竖向布置合理，一项不符扣10分，扣完为止。</w:t>
            </w:r>
          </w:p>
        </w:tc>
        <w:tc>
          <w:tcPr>
            <w:tcW w:w="669"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49" w:type="dxa"/>
            <w:vMerge w:val="continue"/>
            <w:textDirection w:val="tbRlV"/>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continue"/>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p>
        </w:tc>
        <w:tc>
          <w:tcPr>
            <w:tcW w:w="2062"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14.环境整洁，无卫生死角。</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15分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现场勘察</w:t>
            </w:r>
          </w:p>
        </w:tc>
        <w:tc>
          <w:tcPr>
            <w:tcW w:w="4508" w:type="dxa"/>
            <w:gridSpan w:val="2"/>
            <w:vAlign w:val="top"/>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缺规范的制度与完善的记录，扣5分；垃圾未分类规范收集清运，扣5分；存在卫生死角，扣5分。</w:t>
            </w:r>
          </w:p>
        </w:tc>
        <w:tc>
          <w:tcPr>
            <w:tcW w:w="669"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49" w:type="dxa"/>
            <w:vMerge w:val="continue"/>
            <w:textDirection w:val="tbRlV"/>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continue"/>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p>
        </w:tc>
        <w:tc>
          <w:tcPr>
            <w:tcW w:w="2062"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15.绿化覆盖率和绿地率满足国家绿化工作要求。</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15分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现场勘察</w:t>
            </w:r>
          </w:p>
        </w:tc>
        <w:tc>
          <w:tcPr>
            <w:tcW w:w="4508" w:type="dxa"/>
            <w:gridSpan w:val="2"/>
            <w:vAlign w:val="top"/>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工业企业绿化覆盖率35%及以上、绿地率30%及以上；产生有害气体及污染严重的工业企业设有防护林带、绿化覆盖率45%及以上、绿地率40%及以上；非工业企业绿化覆盖率40%及以上、绿地率35%及以上；处于商业中心的企业绿化覆盖率25%及以上、绿地率20%及以上。以上每项降10%，扣5分，扣完为止；</w:t>
            </w:r>
          </w:p>
        </w:tc>
        <w:tc>
          <w:tcPr>
            <w:tcW w:w="669"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46" w:hRule="atLeast"/>
          <w:jc w:val="center"/>
        </w:trPr>
        <w:tc>
          <w:tcPr>
            <w:tcW w:w="649" w:type="dxa"/>
            <w:vMerge w:val="continue"/>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continue"/>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p>
        </w:tc>
        <w:tc>
          <w:tcPr>
            <w:tcW w:w="2062"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16.废气、废水、固体废物排放和贮存、运输、处理符合国家、地方相关标准和要求。</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15分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现场勘察</w:t>
            </w:r>
          </w:p>
        </w:tc>
        <w:tc>
          <w:tcPr>
            <w:tcW w:w="4508" w:type="dxa"/>
            <w:gridSpan w:val="2"/>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“三废”排放任何一项不达标，不得分；贮存、运输、处理不符合国家、地方相关标准和要求，不得分。</w:t>
            </w:r>
          </w:p>
        </w:tc>
        <w:tc>
          <w:tcPr>
            <w:tcW w:w="669"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44" w:hRule="atLeast"/>
          <w:jc w:val="center"/>
        </w:trPr>
        <w:tc>
          <w:tcPr>
            <w:tcW w:w="649" w:type="dxa"/>
            <w:vMerge w:val="continue"/>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continue"/>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p>
        </w:tc>
        <w:tc>
          <w:tcPr>
            <w:tcW w:w="2062"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17.有效落实病媒生物防制，鼠、蚊、蝇、蟑螂等病媒生物密度得到有效控制，符合国家卫生标准和要求。</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15分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现场勘察</w:t>
            </w:r>
          </w:p>
        </w:tc>
        <w:tc>
          <w:tcPr>
            <w:tcW w:w="4508" w:type="dxa"/>
            <w:gridSpan w:val="2"/>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有病媒生物预防控制制度、有专人负责、有定期检查记录、有防病媒生物设施等，一项不符合扣3分；病媒生物密度不符合标准要求，不得分。</w:t>
            </w:r>
          </w:p>
        </w:tc>
        <w:tc>
          <w:tcPr>
            <w:tcW w:w="669"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49" w:type="dxa"/>
            <w:vMerge w:val="continue"/>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continue"/>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p>
        </w:tc>
        <w:tc>
          <w:tcPr>
            <w:tcW w:w="2062"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18.全面开展控烟工作，打造无烟环境。积极推动室内工作场所及公共场所等全面禁止吸烟，设置显著禁烟标识，企业内无烟草广告和促销。</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20分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现场勘察</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访谈</w:t>
            </w:r>
          </w:p>
        </w:tc>
        <w:tc>
          <w:tcPr>
            <w:tcW w:w="4508" w:type="dxa"/>
            <w:gridSpan w:val="2"/>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现场勘察或访谈发现在禁止吸烟场所有吸烟现象，扣10分；室内公共场所及其通勤车辆内未规范设置禁烟标识，扣4分；室外吸烟点设置不规范，扣4分；存在烟草广告及促销，扣2分</w:t>
            </w:r>
          </w:p>
        </w:tc>
        <w:tc>
          <w:tcPr>
            <w:tcW w:w="669"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49" w:type="dxa"/>
            <w:vMerge w:val="continue"/>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continue"/>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p>
        </w:tc>
        <w:tc>
          <w:tcPr>
            <w:tcW w:w="2062"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19.加强水质卫生管理，保障生活饮用水安全。</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15分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tc>
        <w:tc>
          <w:tcPr>
            <w:tcW w:w="4508" w:type="dxa"/>
            <w:gridSpan w:val="2"/>
            <w:vAlign w:val="top"/>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缺饮用水设施检测与清洗维护制度，扣3分；缺水质定期检测，扣3分；缺饮水设施检查、清洗维护记录，扣3分；饮用水水质不符合相应标准要求，不得分。</w:t>
            </w:r>
          </w:p>
        </w:tc>
        <w:tc>
          <w:tcPr>
            <w:tcW w:w="669"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49" w:type="dxa"/>
            <w:vMerge w:val="continue"/>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continue"/>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p>
        </w:tc>
        <w:tc>
          <w:tcPr>
            <w:tcW w:w="2062"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20.企业内设食堂应符合《食品安全法》相关规定要求。未设置食堂的，就餐场所不能与存在职业性有害因素的工作场所相毗邻。</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20分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现场勘察</w:t>
            </w:r>
          </w:p>
        </w:tc>
        <w:tc>
          <w:tcPr>
            <w:tcW w:w="4508" w:type="dxa"/>
            <w:gridSpan w:val="2"/>
            <w:vAlign w:val="top"/>
          </w:tcPr>
          <w:p>
            <w:pPr>
              <w:widowControl w:val="0"/>
              <w:wordWrap/>
              <w:adjustRightInd/>
              <w:snapToGrid/>
              <w:spacing w:line="25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设有内部食堂的企业：具有《餐饮服务许可证》、《从业人员健康证》、《食品安全知识培训合格证》、食品卫生量化分级管理等级B级以上、食堂远离有毒有害作业场所、人员管理规范、从业人员个人卫生符合要求、相关设施设备符合要求，一项不符合扣3分；扣完为止。</w:t>
            </w:r>
          </w:p>
          <w:p>
            <w:pPr>
              <w:widowControl w:val="0"/>
              <w:wordWrap/>
              <w:adjustRightInd/>
              <w:snapToGrid/>
              <w:spacing w:line="25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没有内部食堂的企业：委托用餐配送对方需有配送资质，配送方式和送达时间符合食品安全规定要求，企业有足够数量的洗手设施，一项不符合扣5分；就餐场所与存在职业性有害因素的工作场所相毗邻，不得分。</w:t>
            </w:r>
          </w:p>
        </w:tc>
        <w:tc>
          <w:tcPr>
            <w:tcW w:w="669"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49" w:type="dxa"/>
            <w:vMerge w:val="continue"/>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continue"/>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p>
        </w:tc>
        <w:tc>
          <w:tcPr>
            <w:tcW w:w="2062"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21.厕所设置布局合理、管理规范、干净整洁。</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15分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现场勘察</w:t>
            </w:r>
          </w:p>
        </w:tc>
        <w:tc>
          <w:tcPr>
            <w:tcW w:w="4508" w:type="dxa"/>
            <w:gridSpan w:val="2"/>
            <w:vAlign w:val="top"/>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蹲位数量、厕所地点、厕所环境、排水措施、排臭措施、防蝇措施、洗手池、照明设施、清洁卫生与消毒等，一项不规范，扣2分，扣完为止。</w:t>
            </w:r>
          </w:p>
        </w:tc>
        <w:tc>
          <w:tcPr>
            <w:tcW w:w="669"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49" w:type="dxa"/>
            <w:vMerge w:val="continue"/>
            <w:shd w:val="clear" w:color="auto" w:fill="auto"/>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restart"/>
            <w:shd w:val="clear" w:color="auto" w:fill="auto"/>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工作场所环境</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（80分）</w:t>
            </w:r>
          </w:p>
        </w:tc>
        <w:tc>
          <w:tcPr>
            <w:tcW w:w="2062" w:type="dxa"/>
            <w:shd w:val="clear" w:color="auto" w:fill="FFFFFF"/>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22.工作及作业环境、设备设施符合工效学要求和健康需求。</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20分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现场勘察</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访谈</w:t>
            </w:r>
          </w:p>
        </w:tc>
        <w:tc>
          <w:tcPr>
            <w:tcW w:w="4508" w:type="dxa"/>
            <w:gridSpan w:val="2"/>
            <w:vAlign w:val="top"/>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作业及工作环境、人和设备之间的界面、工作空间和工作站等三方面的设计符合工效学要求和健康需求，并得到被访谈者的认可，一处不符合，扣5分，扣完为止。</w:t>
            </w:r>
          </w:p>
        </w:tc>
        <w:tc>
          <w:tcPr>
            <w:tcW w:w="669"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49" w:type="dxa"/>
            <w:vMerge w:val="continue"/>
            <w:shd w:val="clear" w:color="auto" w:fill="auto"/>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continue"/>
            <w:shd w:val="clear" w:color="auto" w:fill="auto"/>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p>
        </w:tc>
        <w:tc>
          <w:tcPr>
            <w:tcW w:w="2062" w:type="dxa"/>
            <w:shd w:val="clear" w:color="auto" w:fill="FFFFFF"/>
            <w:vAlign w:val="center"/>
          </w:tcPr>
          <w:p>
            <w:pPr>
              <w:widowControl w:val="0"/>
              <w:wordWrap/>
              <w:adjustRightInd/>
              <w:snapToGrid/>
              <w:spacing w:line="25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23.工作场所采光、照明、通风、保温、隔热、隔声、污染物控制等方面符合国家、地方相关标准和要求。</w:t>
            </w:r>
          </w:p>
        </w:tc>
        <w:tc>
          <w:tcPr>
            <w:tcW w:w="675" w:type="dxa"/>
            <w:vAlign w:val="center"/>
          </w:tcPr>
          <w:p>
            <w:pPr>
              <w:widowControl w:val="0"/>
              <w:wordWrap/>
              <w:adjustRightInd/>
              <w:snapToGrid/>
              <w:spacing w:line="25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30分</w:t>
            </w:r>
          </w:p>
        </w:tc>
        <w:tc>
          <w:tcPr>
            <w:tcW w:w="1041" w:type="dxa"/>
            <w:vAlign w:val="center"/>
          </w:tcPr>
          <w:p>
            <w:pPr>
              <w:widowControl w:val="0"/>
              <w:wordWrap/>
              <w:adjustRightInd/>
              <w:snapToGrid/>
              <w:spacing w:line="25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p>
            <w:pPr>
              <w:widowControl w:val="0"/>
              <w:wordWrap/>
              <w:adjustRightInd/>
              <w:snapToGrid/>
              <w:spacing w:line="25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现场勘察</w:t>
            </w:r>
          </w:p>
        </w:tc>
        <w:tc>
          <w:tcPr>
            <w:tcW w:w="4508" w:type="dxa"/>
            <w:gridSpan w:val="2"/>
            <w:vAlign w:val="center"/>
          </w:tcPr>
          <w:p>
            <w:pPr>
              <w:widowControl w:val="0"/>
              <w:wordWrap/>
              <w:adjustRightInd/>
              <w:snapToGrid/>
              <w:spacing w:line="25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采光、照明、通风、保温、隔热、隔声、污染物控制等符合国家或地方相关标准要求，2项内不符合，每项扣5分；3项不符合，扣20分；4项及以上不符合，不得分。</w:t>
            </w:r>
          </w:p>
        </w:tc>
        <w:tc>
          <w:tcPr>
            <w:tcW w:w="669"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49" w:type="dxa"/>
            <w:vMerge w:val="continue"/>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continue"/>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p>
        </w:tc>
        <w:tc>
          <w:tcPr>
            <w:tcW w:w="2062" w:type="dxa"/>
            <w:vAlign w:val="center"/>
          </w:tcPr>
          <w:p>
            <w:pPr>
              <w:widowControl w:val="0"/>
              <w:wordWrap/>
              <w:adjustRightInd/>
              <w:snapToGrid/>
              <w:spacing w:line="25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24.落实建设项目职业病防护设施“三同时”制度，做好职业病危害预评价、职业病防护设施设计及竣工验收职业病危害控制效果评价。*</w:t>
            </w:r>
          </w:p>
        </w:tc>
        <w:tc>
          <w:tcPr>
            <w:tcW w:w="675" w:type="dxa"/>
            <w:vAlign w:val="center"/>
          </w:tcPr>
          <w:p>
            <w:pPr>
              <w:widowControl w:val="0"/>
              <w:wordWrap/>
              <w:adjustRightInd/>
              <w:snapToGrid/>
              <w:spacing w:line="25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30分</w:t>
            </w:r>
          </w:p>
        </w:tc>
        <w:tc>
          <w:tcPr>
            <w:tcW w:w="1041" w:type="dxa"/>
            <w:vAlign w:val="center"/>
          </w:tcPr>
          <w:p>
            <w:pPr>
              <w:widowControl w:val="0"/>
              <w:wordWrap/>
              <w:adjustRightInd/>
              <w:snapToGrid/>
              <w:spacing w:line="25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tc>
        <w:tc>
          <w:tcPr>
            <w:tcW w:w="4508" w:type="dxa"/>
            <w:gridSpan w:val="2"/>
            <w:vAlign w:val="center"/>
          </w:tcPr>
          <w:p>
            <w:pPr>
              <w:widowControl w:val="0"/>
              <w:wordWrap/>
              <w:adjustRightInd/>
              <w:snapToGrid/>
              <w:spacing w:line="25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“三同时”落实不到位，不得分；职业病危害预评价、职业病防护设施设计及竣工验收职业病危害控制效果评价，一项不符合国家标准，不得分。</w:t>
            </w:r>
          </w:p>
        </w:tc>
        <w:tc>
          <w:tcPr>
            <w:tcW w:w="669"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64" w:hRule="atLeast"/>
          <w:jc w:val="center"/>
        </w:trPr>
        <w:tc>
          <w:tcPr>
            <w:tcW w:w="649" w:type="dxa"/>
            <w:vMerge w:val="restart"/>
            <w:textDirection w:val="tbRlV"/>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健康管理与服务（400分）</w:t>
            </w:r>
          </w:p>
        </w:tc>
        <w:tc>
          <w:tcPr>
            <w:tcW w:w="969" w:type="dxa"/>
            <w:vMerge w:val="restart"/>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一般健康管理</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与服务</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（130分）</w:t>
            </w:r>
          </w:p>
        </w:tc>
        <w:tc>
          <w:tcPr>
            <w:tcW w:w="2062"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25.根据用人单位的职工人数和职业安全健康风险程度，依据有关标准设置医务室、紧急救援站等或配备医学背景的健康管理专业人员。</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15分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现场勘察</w:t>
            </w:r>
          </w:p>
        </w:tc>
        <w:tc>
          <w:tcPr>
            <w:tcW w:w="4508" w:type="dxa"/>
            <w:gridSpan w:val="2"/>
            <w:vAlign w:val="top"/>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未按标准设置医务室、紧急救援站、未获得效期内的《医疗机构执业许可证》或医务人员未具有相关资格证书/执业证书，不得分；相关医务人员未积极参与健康企业建设工作，扣5分。</w:t>
            </w:r>
          </w:p>
        </w:tc>
        <w:tc>
          <w:tcPr>
            <w:tcW w:w="669"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71" w:hRule="atLeast"/>
          <w:jc w:val="center"/>
        </w:trPr>
        <w:tc>
          <w:tcPr>
            <w:tcW w:w="649" w:type="dxa"/>
            <w:vMerge w:val="continue"/>
            <w:textDirection w:val="tbRlV"/>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continue"/>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p>
        </w:tc>
        <w:tc>
          <w:tcPr>
            <w:tcW w:w="2062"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26.为员工提供免费测量血压、体重、腰围等健康指标的场所和设施。</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10分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现场勘察</w:t>
            </w:r>
          </w:p>
        </w:tc>
        <w:tc>
          <w:tcPr>
            <w:tcW w:w="4508" w:type="dxa"/>
            <w:gridSpan w:val="2"/>
            <w:vAlign w:val="top"/>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设置血压仪、身高体重仪、腰围尺等三种以上设施供员工免费测量，每缺一种，扣5分；测量场所无相关知识科普资料，扣2分。扣完为止。</w:t>
            </w:r>
          </w:p>
        </w:tc>
        <w:tc>
          <w:tcPr>
            <w:tcW w:w="669"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6" w:hRule="atLeast"/>
          <w:jc w:val="center"/>
        </w:trPr>
        <w:tc>
          <w:tcPr>
            <w:tcW w:w="649" w:type="dxa"/>
            <w:vMerge w:val="continue"/>
            <w:textDirection w:val="tbRlV"/>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continue"/>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p>
        </w:tc>
        <w:tc>
          <w:tcPr>
            <w:tcW w:w="2062"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27.制定员工年度健康检查计划，建立员工健康档案。</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20分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tc>
        <w:tc>
          <w:tcPr>
            <w:tcW w:w="4508" w:type="dxa"/>
            <w:gridSpan w:val="2"/>
            <w:vAlign w:val="top"/>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缺员工年度健康检查计划，扣5分；未做到两年一次全覆盖，每降低10%，扣5分；健康档案信息欠完整，扣5分。扣完为止。</w:t>
            </w:r>
          </w:p>
        </w:tc>
        <w:tc>
          <w:tcPr>
            <w:tcW w:w="669"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24" w:hRule="atLeast"/>
          <w:jc w:val="center"/>
        </w:trPr>
        <w:tc>
          <w:tcPr>
            <w:tcW w:w="649" w:type="dxa"/>
            <w:vMerge w:val="continue"/>
            <w:textDirection w:val="tbRlV"/>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continue"/>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p>
        </w:tc>
        <w:tc>
          <w:tcPr>
            <w:tcW w:w="2062"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28.开展员工健康评估并实施分类健康管理和指导。</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20分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访谈</w:t>
            </w:r>
          </w:p>
        </w:tc>
        <w:tc>
          <w:tcPr>
            <w:tcW w:w="4508" w:type="dxa"/>
            <w:gridSpan w:val="2"/>
            <w:vAlign w:val="top"/>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未采集员工健康相关信息，扣5分；未进行健康评估，扣5分；未实施健康管理和指导，扣10分；健康管理和指导未分类，扣5分。</w:t>
            </w:r>
          </w:p>
        </w:tc>
        <w:tc>
          <w:tcPr>
            <w:tcW w:w="669"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98" w:hRule="atLeast"/>
          <w:jc w:val="center"/>
        </w:trPr>
        <w:tc>
          <w:tcPr>
            <w:tcW w:w="649" w:type="dxa"/>
            <w:vMerge w:val="continue"/>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continue"/>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p>
        </w:tc>
        <w:tc>
          <w:tcPr>
            <w:tcW w:w="2062"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29.制定传染病、食源性疾病等防控应急预案，防止疾病传播流行。</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15分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tc>
        <w:tc>
          <w:tcPr>
            <w:tcW w:w="4508" w:type="dxa"/>
            <w:gridSpan w:val="2"/>
            <w:vAlign w:val="top"/>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缺传染病或食源性疾病应急预案，不得分；预案内容科学、程序规范、各工作组职责明确、措施有针对性，一项不符，扣2分；每年未进行演练，扣5分。</w:t>
            </w:r>
          </w:p>
        </w:tc>
        <w:tc>
          <w:tcPr>
            <w:tcW w:w="669"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49" w:type="dxa"/>
            <w:vMerge w:val="continue"/>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continue"/>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p>
        </w:tc>
        <w:tc>
          <w:tcPr>
            <w:tcW w:w="2062"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30.完善员工健身场地及设施，组织开展适合不同工作场所或工作方式特点的群体性健身活动。</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20分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现场勘察</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访谈</w:t>
            </w:r>
          </w:p>
        </w:tc>
        <w:tc>
          <w:tcPr>
            <w:tcW w:w="4508" w:type="dxa"/>
            <w:gridSpan w:val="2"/>
            <w:vAlign w:val="top"/>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无健身专门场地及健身设施，扣15分；设施种类不足3种，扣10分；未组织开展适合不同工作场所或工作方式特点的健身活动，扣5分。</w:t>
            </w:r>
          </w:p>
        </w:tc>
        <w:tc>
          <w:tcPr>
            <w:tcW w:w="669"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49" w:type="dxa"/>
            <w:vMerge w:val="continue"/>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continue"/>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p>
        </w:tc>
        <w:tc>
          <w:tcPr>
            <w:tcW w:w="2062"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31.开展婚前、孕前和孕期保健。</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15分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访谈</w:t>
            </w:r>
          </w:p>
        </w:tc>
        <w:tc>
          <w:tcPr>
            <w:tcW w:w="4508" w:type="dxa"/>
            <w:gridSpan w:val="2"/>
            <w:vAlign w:val="top"/>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未开展婚前、孕前和孕期保健的宣教，扣5分；无明确鼓励措施，扣5分；未给予时间保证，扣5分。</w:t>
            </w:r>
          </w:p>
        </w:tc>
        <w:tc>
          <w:tcPr>
            <w:tcW w:w="669"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49" w:type="dxa"/>
            <w:vMerge w:val="continue"/>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continue"/>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p>
        </w:tc>
        <w:tc>
          <w:tcPr>
            <w:tcW w:w="2062"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32.开展女职工健康检查，检查项目覆盖妇科和乳腺检查。</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15分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tc>
        <w:tc>
          <w:tcPr>
            <w:tcW w:w="4508" w:type="dxa"/>
            <w:gridSpan w:val="2"/>
            <w:vAlign w:val="top"/>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未开展常规妇科检查，扣5分；未开展TCT+HPV检查，扣5分；未开展乳腺检查项目，扣5分。</w:t>
            </w:r>
          </w:p>
        </w:tc>
        <w:tc>
          <w:tcPr>
            <w:tcW w:w="669"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49" w:type="dxa"/>
            <w:vMerge w:val="continue"/>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restart"/>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心理健康管理</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与服务</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（50分）</w:t>
            </w:r>
          </w:p>
        </w:tc>
        <w:tc>
          <w:tcPr>
            <w:tcW w:w="2062"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33.设立心理健康辅导室。</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10分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现场勘察</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访谈</w:t>
            </w:r>
          </w:p>
        </w:tc>
        <w:tc>
          <w:tcPr>
            <w:tcW w:w="4508" w:type="dxa"/>
            <w:gridSpan w:val="2"/>
            <w:vAlign w:val="top"/>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心理健康辅导室选址不合理，扣3分；内部布置不规范，扣3分；未设立，不得分。</w:t>
            </w:r>
          </w:p>
        </w:tc>
        <w:tc>
          <w:tcPr>
            <w:tcW w:w="669"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649" w:type="dxa"/>
            <w:vMerge w:val="continue"/>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continue"/>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p>
        </w:tc>
        <w:tc>
          <w:tcPr>
            <w:tcW w:w="2062"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34.制订并实施员工心理援助计划。</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20分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tc>
        <w:tc>
          <w:tcPr>
            <w:tcW w:w="4508" w:type="dxa"/>
            <w:gridSpan w:val="2"/>
            <w:vAlign w:val="top"/>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未进行二种以上宣传推广方式推广心理援助计划项目，扣5分；未实施危机干预，扣10分；未实施员工心理援助计划项目，不得分。</w:t>
            </w:r>
          </w:p>
        </w:tc>
        <w:tc>
          <w:tcPr>
            <w:tcW w:w="669"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15" w:hRule="atLeast"/>
          <w:jc w:val="center"/>
        </w:trPr>
        <w:tc>
          <w:tcPr>
            <w:tcW w:w="649" w:type="dxa"/>
            <w:vMerge w:val="continue"/>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continue"/>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p>
        </w:tc>
        <w:tc>
          <w:tcPr>
            <w:tcW w:w="2062"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35.提供心理评估、心理咨询、教育培训等服务。</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20分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访谈</w:t>
            </w:r>
          </w:p>
        </w:tc>
        <w:tc>
          <w:tcPr>
            <w:tcW w:w="4508" w:type="dxa"/>
            <w:gridSpan w:val="2"/>
            <w:vAlign w:val="top"/>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服务内容包括“心理健康素养十条（2018年版）”、职业紧张、焦虑、抑郁、失眠中的三种以上，缺一种，扣5分；形式包括心理评估、心理咨询和教育培训，缺一种，扣5分。扣完为止。</w:t>
            </w:r>
          </w:p>
        </w:tc>
        <w:tc>
          <w:tcPr>
            <w:tcW w:w="669"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49" w:type="dxa"/>
            <w:vMerge w:val="continue"/>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restart"/>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职业健康管理</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与服务</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（220分）</w:t>
            </w:r>
          </w:p>
        </w:tc>
        <w:tc>
          <w:tcPr>
            <w:tcW w:w="2062"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36.落实《女职工劳动保护特别规定》，加强对怀孕和哺乳期女职工的关爱和照顾。女职工较多的企业按规定建立女职工卫生室、孕妇休息室、哺乳室、母婴室等辅助设施。</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15分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现场勘察</w:t>
            </w:r>
          </w:p>
        </w:tc>
        <w:tc>
          <w:tcPr>
            <w:tcW w:w="4508" w:type="dxa"/>
            <w:gridSpan w:val="2"/>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对怀孕及哺乳期女职工的关爱和照顾措施落实不到位，发现一处，扣5分；女职工较多单位设置专门卫生室、孕妇休息室、哺乳室等辅助设施，一处不符合，扣5分；存在任何违反《女职工劳动保护特别规定》的情况，不得分。</w:t>
            </w:r>
          </w:p>
        </w:tc>
        <w:tc>
          <w:tcPr>
            <w:tcW w:w="669"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49" w:type="dxa"/>
            <w:vMerge w:val="continue"/>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continue"/>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p>
        </w:tc>
        <w:tc>
          <w:tcPr>
            <w:tcW w:w="2062"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37.企业主要负责人和职业卫生管理人员接受职业卫生培训，遵守职业病防治法律、法规，依法组织本单位的职业病防治工作。*</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15分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访谈</w:t>
            </w:r>
          </w:p>
        </w:tc>
        <w:tc>
          <w:tcPr>
            <w:tcW w:w="4508" w:type="dxa"/>
            <w:gridSpan w:val="2"/>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企业负责人和职业卫生管理人员接受定期的职业卫生培训，但存在人员、学时、频次或内容不全现象，一项不符，扣5分，扣完为止；未参加职业卫生培训或企业存在违反职业病防治法律、法规现象，不得分。</w:t>
            </w:r>
          </w:p>
        </w:tc>
        <w:tc>
          <w:tcPr>
            <w:tcW w:w="669"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49" w:type="dxa"/>
            <w:vMerge w:val="continue"/>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continue"/>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p>
        </w:tc>
        <w:tc>
          <w:tcPr>
            <w:tcW w:w="2062"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38.组织劳动者进行上岗前的职业卫生培训和在岗期间的定期职业卫生培训。*</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15分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访谈</w:t>
            </w:r>
          </w:p>
        </w:tc>
        <w:tc>
          <w:tcPr>
            <w:tcW w:w="4508" w:type="dxa"/>
            <w:gridSpan w:val="2"/>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存在职业病危害因素岗位的劳动者未全部接受上岗前的职业卫生培训或在岗期间的定期职业卫生培训，扣10分；培训内容或时间不规范，扣5分；未开展相关培训，不得分。</w:t>
            </w:r>
          </w:p>
        </w:tc>
        <w:tc>
          <w:tcPr>
            <w:tcW w:w="669"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49" w:type="dxa"/>
            <w:vMerge w:val="continue"/>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continue"/>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p>
        </w:tc>
        <w:tc>
          <w:tcPr>
            <w:tcW w:w="2062"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39.建立、健全职业卫生管理制度、操作规程、职业卫生档案和工作场所职业病危害因素监测及评价制度。*</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15分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tc>
        <w:tc>
          <w:tcPr>
            <w:tcW w:w="4508" w:type="dxa"/>
            <w:gridSpan w:val="2"/>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建立规范完善的职业卫生管理制度、操作规程、职业卫生档案、工作场所职业病危害因素监测及评价制度，一项不符合，扣3分。</w:t>
            </w:r>
          </w:p>
        </w:tc>
        <w:tc>
          <w:tcPr>
            <w:tcW w:w="669"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49" w:type="dxa"/>
            <w:vMerge w:val="continue"/>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continue"/>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p>
        </w:tc>
        <w:tc>
          <w:tcPr>
            <w:tcW w:w="2062"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40.实施工作场所职业病危害因素日常监测和定期检测、评价。*</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15分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现场勘察</w:t>
            </w:r>
          </w:p>
        </w:tc>
        <w:tc>
          <w:tcPr>
            <w:tcW w:w="4508" w:type="dxa"/>
            <w:gridSpan w:val="2"/>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实施规范的工作场所职业病危害因素日常监测、定期检测、评价，一项不符合规范，扣2分；未实施任何一项，不得分。</w:t>
            </w:r>
          </w:p>
        </w:tc>
        <w:tc>
          <w:tcPr>
            <w:tcW w:w="669"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49" w:type="dxa"/>
            <w:vMerge w:val="continue"/>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continue"/>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p>
        </w:tc>
        <w:tc>
          <w:tcPr>
            <w:tcW w:w="2062"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41.在存在或者产生职业病危害的工作场所设置警示标识和中文警示说明；对存在或产生严重职业病危害的工作岗位设置职业病危害告知卡。*</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10分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现场勘察</w:t>
            </w:r>
          </w:p>
        </w:tc>
        <w:tc>
          <w:tcPr>
            <w:tcW w:w="4508" w:type="dxa"/>
            <w:gridSpan w:val="2"/>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公告栏和职业病危害告知卡的数量、内容和位置设置规范；警示标识数量、内容、尺寸、位置及清晰度设置规范；发现一处不规范，扣2分。扣完为止。</w:t>
            </w:r>
          </w:p>
        </w:tc>
        <w:tc>
          <w:tcPr>
            <w:tcW w:w="669"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49" w:type="dxa"/>
            <w:vMerge w:val="continue"/>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continue"/>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p>
        </w:tc>
        <w:tc>
          <w:tcPr>
            <w:tcW w:w="2062"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42.采用有效的职业病防护设施；为员工提供符合国家职业卫生标准的职业病防护用品，并督促、指导员工正确佩戴和使用。*</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10分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现场勘察</w:t>
            </w:r>
          </w:p>
        </w:tc>
        <w:tc>
          <w:tcPr>
            <w:tcW w:w="4508" w:type="dxa"/>
            <w:gridSpan w:val="2"/>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职业病防护设施不到位，发现一处，扣5分；职业病防护用品不符合相关标准，发现一项，扣5分；督促、指导员工正确佩戴和使用力度不够，发现1例不规范佩戴和使用，扣2分，扣完为止。</w:t>
            </w:r>
          </w:p>
        </w:tc>
        <w:tc>
          <w:tcPr>
            <w:tcW w:w="669"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49" w:type="dxa"/>
            <w:vMerge w:val="continue"/>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continue"/>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p>
        </w:tc>
        <w:tc>
          <w:tcPr>
            <w:tcW w:w="2062" w:type="dxa"/>
            <w:vAlign w:val="center"/>
          </w:tcPr>
          <w:p>
            <w:pPr>
              <w:widowControl w:val="0"/>
              <w:wordWrap/>
              <w:adjustRightInd/>
              <w:snapToGrid/>
              <w:spacing w:line="24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43.对可能导致急性职业损伤的有毒、有害工作场所，设置报警装置，配置现场急救用品、冲洗设备、应急撤离通道和必要的泄险区。*</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15分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现场勘察</w:t>
            </w:r>
          </w:p>
        </w:tc>
        <w:tc>
          <w:tcPr>
            <w:tcW w:w="4508" w:type="dxa"/>
            <w:gridSpan w:val="2"/>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报警装置、现场急救用品、冲洗设备、应急撤离通道或泄险区的配置品种和数量不能满足需求，发现一处，扣3分；缺定期检查维护记录，发现一处扣1分。未设置，不得分。</w:t>
            </w:r>
          </w:p>
        </w:tc>
        <w:tc>
          <w:tcPr>
            <w:tcW w:w="669"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49" w:type="dxa"/>
            <w:vMerge w:val="continue"/>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continue"/>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p>
        </w:tc>
        <w:tc>
          <w:tcPr>
            <w:tcW w:w="2062" w:type="dxa"/>
            <w:vAlign w:val="center"/>
          </w:tcPr>
          <w:p>
            <w:pPr>
              <w:widowControl w:val="0"/>
              <w:wordWrap/>
              <w:adjustRightInd/>
              <w:snapToGrid/>
              <w:spacing w:line="25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44.建立、健全职业病危害事故应急救援预案。*</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10分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访谈</w:t>
            </w:r>
          </w:p>
        </w:tc>
        <w:tc>
          <w:tcPr>
            <w:tcW w:w="4508" w:type="dxa"/>
            <w:gridSpan w:val="2"/>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职业病危害事故应急救援预案不完善，扣2分；未演练，扣5分。</w:t>
            </w:r>
          </w:p>
        </w:tc>
        <w:tc>
          <w:tcPr>
            <w:tcW w:w="669"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49" w:type="dxa"/>
            <w:vMerge w:val="continue"/>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continue"/>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p>
        </w:tc>
        <w:tc>
          <w:tcPr>
            <w:tcW w:w="2062" w:type="dxa"/>
            <w:vAlign w:val="center"/>
          </w:tcPr>
          <w:p>
            <w:pPr>
              <w:widowControl w:val="0"/>
              <w:wordWrap/>
              <w:adjustRightInd/>
              <w:snapToGrid/>
              <w:spacing w:line="25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45.建立、完善职业健康监护制度，对从事接触职业病危害作业的劳动者进行上岗前、在岗期间和离岗时的职业健康检查。*</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20分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访谈</w:t>
            </w:r>
          </w:p>
        </w:tc>
        <w:tc>
          <w:tcPr>
            <w:tcW w:w="4508" w:type="dxa"/>
            <w:gridSpan w:val="2"/>
            <w:vAlign w:val="top"/>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随机抽查20名员工，发现1例未规范开展上岗前、在岗期间或离岗时职业健康检查，扣5分；企业缺乏将检查结果告知劳动者本人的佐证材料，扣5分；未开展上岗前、在岗期间或离岗时职业健康体检，不得分。</w:t>
            </w:r>
          </w:p>
        </w:tc>
        <w:tc>
          <w:tcPr>
            <w:tcW w:w="669"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49" w:type="dxa"/>
            <w:vMerge w:val="continue"/>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continue"/>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p>
        </w:tc>
        <w:tc>
          <w:tcPr>
            <w:tcW w:w="2062" w:type="dxa"/>
            <w:vAlign w:val="center"/>
          </w:tcPr>
          <w:p>
            <w:pPr>
              <w:widowControl w:val="0"/>
              <w:wordWrap/>
              <w:adjustRightInd/>
              <w:snapToGrid/>
              <w:spacing w:line="25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46.建立</w:t>
            </w:r>
            <w:bookmarkStart w:id="1" w:name="_Hlk29463846"/>
            <w:r>
              <w:rPr>
                <w:rFonts w:hint="eastAsia" w:ascii="仿宋_GB2312" w:hAnsi="仿宋_GB2312" w:eastAsia="仿宋_GB2312" w:cs="仿宋_GB2312"/>
                <w:color w:val="000000"/>
                <w:szCs w:val="21"/>
              </w:rPr>
              <w:t>职业健康监护档案并妥</w:t>
            </w:r>
            <w:bookmarkEnd w:id="1"/>
            <w:r>
              <w:rPr>
                <w:rFonts w:hint="eastAsia" w:ascii="仿宋_GB2312" w:hAnsi="仿宋_GB2312" w:eastAsia="仿宋_GB2312" w:cs="仿宋_GB2312"/>
                <w:color w:val="000000"/>
                <w:szCs w:val="21"/>
              </w:rPr>
              <w:t>善保管。*</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15分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tc>
        <w:tc>
          <w:tcPr>
            <w:tcW w:w="4508" w:type="dxa"/>
            <w:gridSpan w:val="2"/>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档案内容欠全面，扣5分；缺纸质档案，扣5分；缺电子档案，扣5分。</w:t>
            </w:r>
          </w:p>
        </w:tc>
        <w:tc>
          <w:tcPr>
            <w:tcW w:w="669"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49" w:type="dxa"/>
            <w:vMerge w:val="continue"/>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continue"/>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p>
        </w:tc>
        <w:tc>
          <w:tcPr>
            <w:tcW w:w="2062" w:type="dxa"/>
            <w:vAlign w:val="center"/>
          </w:tcPr>
          <w:p>
            <w:pPr>
              <w:widowControl w:val="0"/>
              <w:wordWrap/>
              <w:adjustRightInd/>
              <w:snapToGrid/>
              <w:spacing w:line="25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47.定期评估职业健康监护资料。*</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10分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tc>
        <w:tc>
          <w:tcPr>
            <w:tcW w:w="4508" w:type="dxa"/>
            <w:gridSpan w:val="2"/>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未对职业健康监护资料进行整体定期分析评估，缺评估报告，扣5分；未对个人资料进行定期分析评估，扣5分。</w:t>
            </w:r>
          </w:p>
        </w:tc>
        <w:tc>
          <w:tcPr>
            <w:tcW w:w="669"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49" w:type="dxa"/>
            <w:vMerge w:val="continue"/>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continue"/>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p>
        </w:tc>
        <w:tc>
          <w:tcPr>
            <w:tcW w:w="2062" w:type="dxa"/>
            <w:vAlign w:val="center"/>
          </w:tcPr>
          <w:p>
            <w:pPr>
              <w:widowControl w:val="0"/>
              <w:wordWrap/>
              <w:adjustRightInd/>
              <w:snapToGrid/>
              <w:spacing w:line="25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48.配合做好职业病诊断与鉴定工作，安排疑似职业病病人进行职业病诊断，依法提供与职业病诊断、鉴定有关的职业卫生和健康监护等资料。*</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10分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访谈</w:t>
            </w:r>
          </w:p>
        </w:tc>
        <w:tc>
          <w:tcPr>
            <w:tcW w:w="4508" w:type="dxa"/>
            <w:gridSpan w:val="2"/>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缺疑似职业病病人诊断管理方案，扣2分；在依法提供诊断、鉴定所需要的相关资料方面配合不到位，发现一次，扣5分，扣完为止；未安排疑似职业病病人进行职业病诊断，不得分。</w:t>
            </w:r>
          </w:p>
        </w:tc>
        <w:tc>
          <w:tcPr>
            <w:tcW w:w="669"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49" w:type="dxa"/>
            <w:vMerge w:val="continue"/>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continue"/>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p>
        </w:tc>
        <w:tc>
          <w:tcPr>
            <w:tcW w:w="2062" w:type="dxa"/>
            <w:vAlign w:val="center"/>
          </w:tcPr>
          <w:p>
            <w:pPr>
              <w:widowControl w:val="0"/>
              <w:wordWrap/>
              <w:adjustRightInd/>
              <w:snapToGrid/>
              <w:spacing w:line="25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49.妥善安置有职业禁忌、职业相关健康损害和患有职业病的员工。*</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10分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访谈</w:t>
            </w:r>
          </w:p>
        </w:tc>
        <w:tc>
          <w:tcPr>
            <w:tcW w:w="4508" w:type="dxa"/>
            <w:gridSpan w:val="2"/>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未妥善安排有职业禁忌、职业相关健康损害或职业病的员工，发现一例，不得分。</w:t>
            </w:r>
          </w:p>
        </w:tc>
        <w:tc>
          <w:tcPr>
            <w:tcW w:w="669"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24" w:hRule="atLeast"/>
          <w:jc w:val="center"/>
        </w:trPr>
        <w:tc>
          <w:tcPr>
            <w:tcW w:w="649" w:type="dxa"/>
            <w:vMerge w:val="continue"/>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continue"/>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p>
        </w:tc>
        <w:tc>
          <w:tcPr>
            <w:tcW w:w="2062"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50.依法依规安排职业病病人进行治疗、康复和定期检查。*</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10分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访谈</w:t>
            </w:r>
          </w:p>
        </w:tc>
        <w:tc>
          <w:tcPr>
            <w:tcW w:w="4508" w:type="dxa"/>
            <w:gridSpan w:val="2"/>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未依法依规安排职业病病人进行治疗、康复或定期检查，发现一例，不得分。</w:t>
            </w:r>
          </w:p>
        </w:tc>
        <w:tc>
          <w:tcPr>
            <w:tcW w:w="669"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49" w:type="dxa"/>
            <w:vMerge w:val="continue"/>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continue"/>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p>
        </w:tc>
        <w:tc>
          <w:tcPr>
            <w:tcW w:w="2062"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51.对从事接触职业病危害作业的劳动者，给予岗位津贴。*</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10分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访谈</w:t>
            </w:r>
          </w:p>
        </w:tc>
        <w:tc>
          <w:tcPr>
            <w:tcW w:w="4508" w:type="dxa"/>
            <w:gridSpan w:val="2"/>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对从事接触职业病危害作业的劳动者，未全部足额给予岗位津贴，扣5分；未给岗位津贴，不得分。</w:t>
            </w:r>
          </w:p>
        </w:tc>
        <w:tc>
          <w:tcPr>
            <w:tcW w:w="669"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78" w:hRule="atLeast"/>
          <w:jc w:val="center"/>
        </w:trPr>
        <w:tc>
          <w:tcPr>
            <w:tcW w:w="649" w:type="dxa"/>
            <w:vMerge w:val="continue"/>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continue"/>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p>
        </w:tc>
        <w:tc>
          <w:tcPr>
            <w:tcW w:w="2062"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52.优先采用有利于防治职业病和保护劳动者健康的新技术、新工艺、新设备、新材料，替代职业病危害严重的技术、工艺、设备、材料。*</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15分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现场勘查</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访谈</w:t>
            </w:r>
          </w:p>
        </w:tc>
        <w:tc>
          <w:tcPr>
            <w:tcW w:w="4508" w:type="dxa"/>
            <w:gridSpan w:val="2"/>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未优先采用有利于防治职业病和保护劳动者健康的新技术、新工艺、新设备、新材料，替代职业病危害严重的技术、工艺、设备、材料，发现一处，扣5分，扣完为止；采用国家命令禁止或已淘汰落后的工艺，不得分。</w:t>
            </w:r>
          </w:p>
        </w:tc>
        <w:tc>
          <w:tcPr>
            <w:tcW w:w="669"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918" w:hRule="atLeast"/>
          <w:jc w:val="center"/>
        </w:trPr>
        <w:tc>
          <w:tcPr>
            <w:tcW w:w="649" w:type="dxa"/>
            <w:vMerge w:val="restart"/>
            <w:textDirection w:val="tbRlV"/>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健康文化（150分）</w:t>
            </w:r>
          </w:p>
        </w:tc>
        <w:tc>
          <w:tcPr>
            <w:tcW w:w="969" w:type="dxa"/>
            <w:vMerge w:val="restart"/>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健康</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教育</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（60分）</w:t>
            </w:r>
          </w:p>
        </w:tc>
        <w:tc>
          <w:tcPr>
            <w:tcW w:w="2062"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53.广泛开展多种形式的健康知识普及，倡导健康生活方式和健康工作方式。</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20分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现场勘察</w:t>
            </w:r>
          </w:p>
        </w:tc>
        <w:tc>
          <w:tcPr>
            <w:tcW w:w="4508" w:type="dxa"/>
            <w:gridSpan w:val="2"/>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倡导健康生活方式，缺一项，扣3分；对重复用力、快速移动、异常姿势等工效学危害因素，未制定预防和控制工作相关肌肉骨骼系统疾患的措施，扣4分；对高负荷、超时工作等作业方式，未采取减少工作时间、调整工作内容或作息时间等预防和控制过劳发生的措施，扣4分；健康教育活动形式单一，缺乏互动式和参与式活动，扣4分；员工参加相关活动影响考勤、收入或其他福利待遇，扣3分；未关注健康行为的采纳和健康技能的提升，扣3分，扣完为止。</w:t>
            </w:r>
          </w:p>
        </w:tc>
        <w:tc>
          <w:tcPr>
            <w:tcW w:w="669"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49" w:type="dxa"/>
            <w:vMerge w:val="continue"/>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continue"/>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p>
        </w:tc>
        <w:tc>
          <w:tcPr>
            <w:tcW w:w="2062"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54.定期组织开展传染病、慢性病和职业病防治及心理健康等内容的健康教育活动。</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25分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资料审核</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访谈</w:t>
            </w:r>
          </w:p>
        </w:tc>
        <w:tc>
          <w:tcPr>
            <w:tcW w:w="4508" w:type="dxa"/>
            <w:gridSpan w:val="2"/>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每年至少开展五次健康讲座，缺1次，扣2分；内容应包含慢性病、传染病防治、健康生活方式、职业紧张及心理卫生等相关内容，少一项，扣2分；员工健康素养水平低于当地平均水平，扣5分。</w:t>
            </w:r>
          </w:p>
        </w:tc>
        <w:tc>
          <w:tcPr>
            <w:tcW w:w="669"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center"/>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49" w:type="dxa"/>
            <w:vMerge w:val="continue"/>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continue"/>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p>
        </w:tc>
        <w:tc>
          <w:tcPr>
            <w:tcW w:w="2062"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55.定期对食堂管理和从业人员开展营养、平衡膳食和食品安全相关培训。**</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15分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访谈</w:t>
            </w:r>
          </w:p>
        </w:tc>
        <w:tc>
          <w:tcPr>
            <w:tcW w:w="4508" w:type="dxa"/>
            <w:gridSpan w:val="2"/>
            <w:vAlign w:val="top"/>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开展营养、平衡膳食和食品安全相关知识和技能培训的人员、内容或人均未达4小时，扣10分；未进行考核或考核不合格者依然上岗，扣5分。</w:t>
            </w:r>
          </w:p>
        </w:tc>
        <w:tc>
          <w:tcPr>
            <w:tcW w:w="669"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49" w:type="dxa"/>
            <w:vMerge w:val="continue"/>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restart"/>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企业</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文化</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（70分）</w:t>
            </w:r>
          </w:p>
        </w:tc>
        <w:tc>
          <w:tcPr>
            <w:tcW w:w="2062"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56.关爱员工身心健康，构建和谐、平等、信任、宽容的人文环境。</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20分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访谈</w:t>
            </w:r>
          </w:p>
        </w:tc>
        <w:tc>
          <w:tcPr>
            <w:tcW w:w="4508" w:type="dxa"/>
            <w:gridSpan w:val="2"/>
            <w:vAlign w:val="top"/>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沟通平台不畅通，扣5分；对弱势群体未采取帮扶措施，扣5分；员工成长激励机制不公平或不透明，扣5分；未能构建和谐、平等、信任、宽容等健康向上的人文环境，扣5分。</w:t>
            </w:r>
          </w:p>
        </w:tc>
        <w:tc>
          <w:tcPr>
            <w:tcW w:w="669"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49" w:type="dxa"/>
            <w:vMerge w:val="continue"/>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continue"/>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p>
        </w:tc>
        <w:tc>
          <w:tcPr>
            <w:tcW w:w="2062"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57.传播健康先进理念和文化。</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15分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勘察访谈</w:t>
            </w:r>
          </w:p>
        </w:tc>
        <w:tc>
          <w:tcPr>
            <w:tcW w:w="4508" w:type="dxa"/>
            <w:gridSpan w:val="2"/>
            <w:vAlign w:val="top"/>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企业文化中缺乏以健康为核心的元素，扣5分；传播健康先进理念和文化的方式或渠道单一，扣5分；未得到员工认可，扣5分。</w:t>
            </w:r>
          </w:p>
        </w:tc>
        <w:tc>
          <w:tcPr>
            <w:tcW w:w="669"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49" w:type="dxa"/>
            <w:vMerge w:val="continue"/>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continue"/>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p>
        </w:tc>
        <w:tc>
          <w:tcPr>
            <w:tcW w:w="2062"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58.采取积极有效措施预防和制止工作场所暴力、歧视和性骚扰等。</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20分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访谈</w:t>
            </w:r>
          </w:p>
        </w:tc>
        <w:tc>
          <w:tcPr>
            <w:tcW w:w="4508" w:type="dxa"/>
            <w:gridSpan w:val="2"/>
            <w:vAlign w:val="top"/>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未制定完善的预防和制止工作场所暴力、歧视和性骚扰的相关管理制度，扣5分；未开展相关宣传教育，扣5分；未指定部门负责，扣5分；未定期开展相关督导检查工作，扣5分。</w:t>
            </w:r>
          </w:p>
        </w:tc>
        <w:tc>
          <w:tcPr>
            <w:tcW w:w="669"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49" w:type="dxa"/>
            <w:vMerge w:val="continue"/>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Merge w:val="continue"/>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p>
        </w:tc>
        <w:tc>
          <w:tcPr>
            <w:tcW w:w="2062"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59.开展“健康达人”/“职业健康达人”评选活动。</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15分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访谈</w:t>
            </w:r>
          </w:p>
        </w:tc>
        <w:tc>
          <w:tcPr>
            <w:tcW w:w="4508" w:type="dxa"/>
            <w:gridSpan w:val="2"/>
            <w:vAlign w:val="top"/>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未公示相应评选标准和评选办法，扣5分；“达人”数量不符合相关规定的，扣5分；随机抽取20名员工，50%以上对评选出的“健康达人”/“职业健康达人”不知晓或不认可，扣5分。</w:t>
            </w:r>
          </w:p>
        </w:tc>
        <w:tc>
          <w:tcPr>
            <w:tcW w:w="669"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49" w:type="dxa"/>
            <w:vMerge w:val="continue"/>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p>
        </w:tc>
        <w:tc>
          <w:tcPr>
            <w:tcW w:w="969"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社会</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责任</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（20分）</w:t>
            </w:r>
          </w:p>
        </w:tc>
        <w:tc>
          <w:tcPr>
            <w:tcW w:w="2062"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60.切实履行社会责任，积极参与社会公益活动。</w:t>
            </w:r>
          </w:p>
        </w:tc>
        <w:tc>
          <w:tcPr>
            <w:tcW w:w="675"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20分</w:t>
            </w:r>
          </w:p>
        </w:tc>
        <w:tc>
          <w:tcPr>
            <w:tcW w:w="1041" w:type="dxa"/>
            <w:vAlign w:val="center"/>
          </w:tcPr>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资料审查</w:t>
            </w:r>
          </w:p>
          <w:p>
            <w:pPr>
              <w:widowControl w:val="0"/>
              <w:wordWrap/>
              <w:adjustRightInd/>
              <w:snapToGrid/>
              <w:spacing w:line="2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访谈</w:t>
            </w:r>
          </w:p>
        </w:tc>
        <w:tc>
          <w:tcPr>
            <w:tcW w:w="4508" w:type="dxa"/>
            <w:gridSpan w:val="2"/>
            <w:vAlign w:val="top"/>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具有包括参与公益活动在内的多种履行社会责任的途径、方式和内容，受益方满意度高，每年达3次以上，缺一次扣5分；未将健康企业的积极效应扩展到家庭和社区，扣10分；未开展社会公益活动，或企业存在环保不达标、欺骗性广告等情形，不得分。</w:t>
            </w:r>
          </w:p>
        </w:tc>
        <w:tc>
          <w:tcPr>
            <w:tcW w:w="669"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77" w:hRule="atLeast"/>
          <w:jc w:val="center"/>
        </w:trPr>
        <w:tc>
          <w:tcPr>
            <w:tcW w:w="9904" w:type="dxa"/>
            <w:gridSpan w:val="7"/>
            <w:vAlign w:val="center"/>
          </w:tcPr>
          <w:p>
            <w:pPr>
              <w:widowControl w:val="0"/>
              <w:wordWrap/>
              <w:adjustRightInd/>
              <w:snapToGrid/>
              <w:spacing w:line="240" w:lineRule="auto"/>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b/>
                <w:color w:val="000000"/>
                <w:sz w:val="32"/>
                <w:szCs w:val="32"/>
              </w:rPr>
              <w:t>评估总得分</w:t>
            </w:r>
          </w:p>
        </w:tc>
        <w:tc>
          <w:tcPr>
            <w:tcW w:w="669"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670"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c>
          <w:tcPr>
            <w:tcW w:w="1126" w:type="dxa"/>
            <w:vAlign w:val="top"/>
          </w:tcPr>
          <w:p>
            <w:pPr>
              <w:widowControl w:val="0"/>
              <w:wordWrap/>
              <w:adjustRightInd/>
              <w:snapToGrid/>
              <w:spacing w:line="260" w:lineRule="exact"/>
              <w:ind w:left="-423" w:leftChars="-195" w:firstLine="637" w:firstLineChars="294"/>
              <w:jc w:val="center"/>
              <w:textAlignment w:val="auto"/>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75" w:hRule="atLeast"/>
          <w:jc w:val="center"/>
        </w:trPr>
        <w:tc>
          <w:tcPr>
            <w:tcW w:w="649"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备注</w:t>
            </w:r>
          </w:p>
        </w:tc>
        <w:tc>
          <w:tcPr>
            <w:tcW w:w="12390" w:type="dxa"/>
            <w:gridSpan w:val="10"/>
            <w:vAlign w:val="center"/>
          </w:tcPr>
          <w:p>
            <w:pPr>
              <w:widowControl w:val="0"/>
              <w:wordWrap/>
              <w:adjustRightInd/>
              <w:snapToGrid/>
              <w:spacing w:line="260" w:lineRule="exact"/>
              <w:jc w:val="lef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1.标注*号的指标为存在职业病危害因素企业的特有指标，共235分；</w:t>
            </w:r>
          </w:p>
          <w:p>
            <w:pPr>
              <w:widowControl w:val="0"/>
              <w:wordWrap/>
              <w:adjustRightInd/>
              <w:snapToGrid/>
              <w:spacing w:line="260" w:lineRule="exact"/>
              <w:jc w:val="lef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2.如果申请企业不存在职业病危害因素，则自评估得分以非*项得分除以0.765计。如某企业不存在职业病危害因素，其非*项得分为650分，对自评估得分进行加权计算为650/0.765=849.67分；</w:t>
            </w:r>
          </w:p>
          <w:p>
            <w:pPr>
              <w:widowControl w:val="0"/>
              <w:wordWrap/>
              <w:adjustRightInd/>
              <w:snapToGrid/>
              <w:spacing w:line="260" w:lineRule="exact"/>
              <w:jc w:val="lef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3.若申请企业存在职业病危害因素，则需要对所有指标进行评估，各项指标实际评估得分相加结果即为评估得分；</w:t>
            </w:r>
          </w:p>
          <w:p>
            <w:pPr>
              <w:widowControl w:val="0"/>
              <w:wordWrap/>
              <w:adjustRightInd/>
              <w:snapToGrid/>
              <w:spacing w:line="260" w:lineRule="exact"/>
              <w:jc w:val="lef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4.标注**号的指标，企业内部设置食堂或餐厅的，考核此项指标；未设置食堂或餐厅的企业，不考核此项指标，得分按照加权处理。</w:t>
            </w:r>
          </w:p>
          <w:p>
            <w:pPr>
              <w:widowControl w:val="0"/>
              <w:wordWrap/>
              <w:adjustRightInd/>
              <w:snapToGrid/>
              <w:spacing w:line="260" w:lineRule="exact"/>
              <w:jc w:val="lef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5.评估达到800分以上的企业，达到健康企业标准。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251" w:hRule="atLeast"/>
          <w:jc w:val="center"/>
        </w:trPr>
        <w:tc>
          <w:tcPr>
            <w:tcW w:w="649" w:type="dxa"/>
            <w:vAlign w:val="center"/>
          </w:tcPr>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评估</w:t>
            </w:r>
          </w:p>
          <w:p>
            <w:pPr>
              <w:widowControl w:val="0"/>
              <w:wordWrap/>
              <w:adjustRightInd/>
              <w:snapToGrid/>
              <w:spacing w:line="2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结论</w:t>
            </w:r>
          </w:p>
        </w:tc>
        <w:tc>
          <w:tcPr>
            <w:tcW w:w="3031" w:type="dxa"/>
            <w:gridSpan w:val="2"/>
            <w:vAlign w:val="top"/>
          </w:tcPr>
          <w:p>
            <w:pPr>
              <w:widowControl w:val="0"/>
              <w:wordWrap/>
              <w:adjustRightInd/>
              <w:snapToGrid/>
              <w:spacing w:beforeLines="20" w:line="260" w:lineRule="exact"/>
              <w:ind w:left="0" w:leftChars="0" w:firstLine="0" w:firstLineChars="0"/>
              <w:jc w:val="lef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是否符合吉林省健康企业条件：</w:t>
            </w:r>
          </w:p>
          <w:p>
            <w:pPr>
              <w:widowControl w:val="0"/>
              <w:wordWrap/>
              <w:adjustRightInd/>
              <w:snapToGrid/>
              <w:spacing w:line="260" w:lineRule="exact"/>
              <w:ind w:left="0" w:leftChars="0" w:firstLine="0" w:firstLineChars="0"/>
              <w:jc w:val="center"/>
              <w:textAlignment w:val="auto"/>
              <w:rPr>
                <w:rFonts w:hint="eastAsia" w:ascii="仿宋_GB2312" w:hAnsi="仿宋_GB2312" w:eastAsia="仿宋_GB2312" w:cs="仿宋_GB2312"/>
                <w:color w:val="000000"/>
                <w:szCs w:val="21"/>
              </w:rPr>
            </w:pPr>
          </w:p>
          <w:p>
            <w:pPr>
              <w:widowControl w:val="0"/>
              <w:wordWrap/>
              <w:adjustRightInd/>
              <w:snapToGrid/>
              <w:spacing w:line="260" w:lineRule="exact"/>
              <w:ind w:left="0" w:leftChars="0" w:firstLine="0" w:firstLineChars="0"/>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1"/>
              </w:rPr>
              <w:t>符合</w:t>
            </w: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1"/>
              </w:rPr>
              <w:t>不符合</w:t>
            </w:r>
          </w:p>
          <w:p>
            <w:pPr>
              <w:widowControl w:val="0"/>
              <w:wordWrap/>
              <w:adjustRightInd/>
              <w:snapToGrid/>
              <w:spacing w:line="260" w:lineRule="exact"/>
              <w:ind w:left="0" w:leftChars="0" w:firstLine="0" w:firstLineChars="0"/>
              <w:jc w:val="center"/>
              <w:textAlignment w:val="auto"/>
              <w:rPr>
                <w:rFonts w:hint="eastAsia" w:ascii="仿宋_GB2312" w:hAnsi="仿宋_GB2312" w:eastAsia="仿宋_GB2312" w:cs="仿宋_GB2312"/>
                <w:color w:val="000000"/>
                <w:szCs w:val="21"/>
              </w:rPr>
            </w:pPr>
          </w:p>
          <w:p>
            <w:pPr>
              <w:widowControl w:val="0"/>
              <w:wordWrap/>
              <w:adjustRightInd/>
              <w:snapToGrid/>
              <w:spacing w:line="260" w:lineRule="exact"/>
              <w:ind w:left="0" w:leftChars="0" w:firstLine="0" w:firstLineChars="0"/>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申请企业盖章</w:t>
            </w:r>
          </w:p>
          <w:p>
            <w:pPr>
              <w:widowControl w:val="0"/>
              <w:wordWrap/>
              <w:adjustRightInd/>
              <w:snapToGrid/>
              <w:spacing w:line="260" w:lineRule="exact"/>
              <w:ind w:left="0" w:leftChars="0" w:firstLine="0" w:firstLineChars="0"/>
              <w:jc w:val="center"/>
              <w:textAlignment w:val="auto"/>
              <w:rPr>
                <w:rFonts w:hint="eastAsia" w:ascii="仿宋_GB2312" w:hAnsi="仿宋_GB2312" w:eastAsia="仿宋_GB2312" w:cs="仿宋_GB2312"/>
                <w:color w:val="000000"/>
                <w:szCs w:val="21"/>
              </w:rPr>
            </w:pPr>
          </w:p>
          <w:p>
            <w:pPr>
              <w:widowControl w:val="0"/>
              <w:wordWrap/>
              <w:adjustRightInd/>
              <w:snapToGrid/>
              <w:spacing w:line="260" w:lineRule="exact"/>
              <w:ind w:left="0" w:leftChars="0" w:firstLine="0" w:firstLineChars="0"/>
              <w:jc w:val="center"/>
              <w:textAlignment w:val="auto"/>
              <w:rPr>
                <w:rFonts w:hint="eastAsia" w:ascii="仿宋_GB2312" w:hAnsi="仿宋_GB2312" w:eastAsia="仿宋_GB2312" w:cs="仿宋_GB2312"/>
                <w:color w:val="000000"/>
                <w:szCs w:val="21"/>
              </w:rPr>
            </w:pPr>
          </w:p>
          <w:p>
            <w:pPr>
              <w:widowControl w:val="0"/>
              <w:wordWrap/>
              <w:adjustRightInd/>
              <w:snapToGrid/>
              <w:spacing w:line="260" w:lineRule="exact"/>
              <w:ind w:left="0" w:leftChars="0" w:firstLine="0" w:firstLineChars="0"/>
              <w:jc w:val="center"/>
              <w:textAlignment w:val="auto"/>
              <w:rPr>
                <w:rFonts w:hint="eastAsia" w:ascii="仿宋_GB2312" w:hAnsi="仿宋_GB2312" w:eastAsia="仿宋_GB2312" w:cs="仿宋_GB2312"/>
                <w:color w:val="000000"/>
                <w:szCs w:val="21"/>
              </w:rPr>
            </w:pPr>
          </w:p>
          <w:p>
            <w:pPr>
              <w:widowControl w:val="0"/>
              <w:wordWrap/>
              <w:adjustRightInd/>
              <w:snapToGrid/>
              <w:spacing w:beforeLines="40" w:line="260" w:lineRule="exact"/>
              <w:ind w:left="0" w:leftChars="0" w:firstLine="0" w:firstLineChars="0"/>
              <w:jc w:val="center"/>
              <w:textAlignment w:val="auto"/>
              <w:rPr>
                <w:rFonts w:hint="eastAsia" w:ascii="仿宋_GB2312" w:hAnsi="仿宋_GB2312" w:eastAsia="仿宋_GB2312" w:cs="仿宋_GB2312"/>
                <w:color w:val="000000"/>
                <w:szCs w:val="21"/>
                <w:lang w:val="zh-CN"/>
              </w:rPr>
            </w:pPr>
            <w:r>
              <w:rPr>
                <w:rFonts w:hint="eastAsia" w:ascii="仿宋_GB2312" w:hAnsi="仿宋_GB2312" w:eastAsia="仿宋_GB2312" w:cs="仿宋_GB2312"/>
                <w:color w:val="000000"/>
                <w:szCs w:val="21"/>
                <w:lang w:val="en-US" w:eastAsia="zh-CN"/>
              </w:rPr>
              <w:t xml:space="preserve">          </w:t>
            </w:r>
            <w:r>
              <w:rPr>
                <w:rFonts w:hint="eastAsia" w:ascii="仿宋_GB2312" w:hAnsi="仿宋_GB2312" w:eastAsia="仿宋_GB2312" w:cs="仿宋_GB2312"/>
                <w:color w:val="000000"/>
                <w:szCs w:val="21"/>
              </w:rPr>
              <w:t>年  月  日</w:t>
            </w:r>
          </w:p>
        </w:tc>
        <w:tc>
          <w:tcPr>
            <w:tcW w:w="3044" w:type="dxa"/>
            <w:gridSpan w:val="3"/>
            <w:vAlign w:val="top"/>
          </w:tcPr>
          <w:p>
            <w:pPr>
              <w:widowControl w:val="0"/>
              <w:wordWrap/>
              <w:adjustRightInd/>
              <w:snapToGrid/>
              <w:spacing w:beforeLines="20" w:line="260" w:lineRule="exact"/>
              <w:ind w:left="0" w:leftChars="0" w:firstLine="0" w:firstLineChars="0"/>
              <w:jc w:val="lef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是否符合吉林省健康企业认定条件：</w:t>
            </w:r>
          </w:p>
          <w:p>
            <w:pPr>
              <w:pStyle w:val="2"/>
              <w:widowControl w:val="0"/>
              <w:wordWrap/>
              <w:adjustRightInd/>
              <w:snapToGrid/>
              <w:spacing w:after="0" w:line="260" w:lineRule="exact"/>
              <w:ind w:left="0" w:leftChars="0" w:firstLine="0" w:firstLineChars="0"/>
              <w:rPr>
                <w:rFonts w:hint="eastAsia"/>
              </w:rPr>
            </w:pPr>
          </w:p>
          <w:p>
            <w:pPr>
              <w:widowControl w:val="0"/>
              <w:wordWrap/>
              <w:adjustRightInd/>
              <w:snapToGrid/>
              <w:spacing w:line="260" w:lineRule="exact"/>
              <w:ind w:left="0" w:leftChars="0" w:firstLine="0" w:firstLineChars="0"/>
              <w:jc w:val="lef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1"/>
              </w:rPr>
              <w:t xml:space="preserve">符合   </w:t>
            </w: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1"/>
              </w:rPr>
              <w:t>不符合</w:t>
            </w:r>
          </w:p>
          <w:p>
            <w:pPr>
              <w:widowControl w:val="0"/>
              <w:wordWrap/>
              <w:adjustRightInd/>
              <w:snapToGrid/>
              <w:spacing w:line="260" w:lineRule="exact"/>
              <w:ind w:left="0" w:leftChars="0" w:firstLine="0" w:firstLineChars="0"/>
              <w:jc w:val="center"/>
              <w:textAlignment w:val="auto"/>
              <w:rPr>
                <w:rFonts w:hint="eastAsia" w:ascii="仿宋_GB2312" w:hAnsi="仿宋_GB2312" w:eastAsia="仿宋_GB2312" w:cs="仿宋_GB2312"/>
                <w:color w:val="000000"/>
                <w:szCs w:val="21"/>
              </w:rPr>
            </w:pPr>
          </w:p>
          <w:p>
            <w:pPr>
              <w:widowControl w:val="0"/>
              <w:wordWrap/>
              <w:adjustRightInd/>
              <w:snapToGrid/>
              <w:spacing w:line="260" w:lineRule="exact"/>
              <w:ind w:left="0" w:leftChars="0" w:firstLine="0" w:firstLineChars="0"/>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县级评估组人员签字：</w:t>
            </w:r>
          </w:p>
          <w:p>
            <w:pPr>
              <w:widowControl w:val="0"/>
              <w:wordWrap/>
              <w:adjustRightInd/>
              <w:snapToGrid/>
              <w:spacing w:line="260" w:lineRule="exact"/>
              <w:ind w:left="0" w:leftChars="0" w:firstLine="0" w:firstLineChars="0"/>
              <w:jc w:val="center"/>
              <w:textAlignment w:val="auto"/>
              <w:rPr>
                <w:rFonts w:hint="eastAsia" w:ascii="仿宋_GB2312" w:hAnsi="仿宋_GB2312" w:eastAsia="仿宋_GB2312" w:cs="仿宋_GB2312"/>
                <w:color w:val="000000"/>
                <w:szCs w:val="21"/>
              </w:rPr>
            </w:pPr>
          </w:p>
          <w:p>
            <w:pPr>
              <w:widowControl w:val="0"/>
              <w:wordWrap/>
              <w:adjustRightInd/>
              <w:snapToGrid/>
              <w:spacing w:line="260" w:lineRule="exact"/>
              <w:ind w:left="0" w:leftChars="0" w:firstLine="0" w:firstLineChars="0"/>
              <w:jc w:val="center"/>
              <w:textAlignment w:val="auto"/>
              <w:rPr>
                <w:rFonts w:hint="eastAsia" w:ascii="仿宋_GB2312" w:hAnsi="仿宋_GB2312" w:eastAsia="仿宋_GB2312" w:cs="仿宋_GB2312"/>
                <w:color w:val="000000"/>
                <w:szCs w:val="21"/>
              </w:rPr>
            </w:pPr>
          </w:p>
          <w:p>
            <w:pPr>
              <w:widowControl w:val="0"/>
              <w:wordWrap/>
              <w:adjustRightInd/>
              <w:snapToGrid/>
              <w:spacing w:line="260" w:lineRule="exact"/>
              <w:ind w:left="0" w:leftChars="0" w:firstLine="0" w:firstLineChars="0"/>
              <w:jc w:val="center"/>
              <w:textAlignment w:val="auto"/>
              <w:rPr>
                <w:rFonts w:hint="eastAsia" w:ascii="仿宋_GB2312" w:hAnsi="仿宋_GB2312" w:eastAsia="仿宋_GB2312" w:cs="仿宋_GB2312"/>
                <w:color w:val="000000"/>
                <w:szCs w:val="21"/>
              </w:rPr>
            </w:pPr>
          </w:p>
          <w:p>
            <w:pPr>
              <w:widowControl w:val="0"/>
              <w:wordWrap/>
              <w:adjustRightInd/>
              <w:snapToGrid/>
              <w:spacing w:beforeLines="40" w:line="260" w:lineRule="exact"/>
              <w:ind w:left="0" w:leftChars="0" w:firstLine="0" w:firstLineChars="0"/>
              <w:jc w:val="center"/>
              <w:textAlignment w:val="auto"/>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Cs w:val="21"/>
                <w:lang w:val="en-US" w:eastAsia="zh-CN"/>
              </w:rPr>
              <w:t xml:space="preserve">          </w:t>
            </w:r>
            <w:r>
              <w:rPr>
                <w:rFonts w:hint="eastAsia" w:ascii="仿宋_GB2312" w:hAnsi="仿宋_GB2312" w:eastAsia="仿宋_GB2312" w:cs="仿宋_GB2312"/>
                <w:color w:val="000000"/>
                <w:szCs w:val="21"/>
              </w:rPr>
              <w:t>年  月  日</w:t>
            </w:r>
          </w:p>
        </w:tc>
        <w:tc>
          <w:tcPr>
            <w:tcW w:w="3180" w:type="dxa"/>
            <w:vAlign w:val="top"/>
          </w:tcPr>
          <w:p>
            <w:pPr>
              <w:widowControl w:val="0"/>
              <w:wordWrap/>
              <w:adjustRightInd/>
              <w:snapToGrid/>
              <w:spacing w:beforeLines="20" w:line="260" w:lineRule="exact"/>
              <w:ind w:left="0" w:leftChars="0" w:firstLine="0" w:firstLineChars="0"/>
              <w:jc w:val="left"/>
              <w:textAlignment w:val="auto"/>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rPr>
              <w:t>是否符合吉林省健康企业认定条件</w:t>
            </w:r>
            <w:r>
              <w:rPr>
                <w:rFonts w:hint="eastAsia" w:ascii="仿宋_GB2312" w:hAnsi="仿宋_GB2312" w:eastAsia="仿宋_GB2312" w:cs="仿宋_GB2312"/>
                <w:color w:val="000000"/>
                <w:szCs w:val="21"/>
                <w:lang w:val="en-US" w:eastAsia="zh-CN"/>
              </w:rPr>
              <w:t>:</w:t>
            </w:r>
          </w:p>
          <w:p>
            <w:pPr>
              <w:widowControl w:val="0"/>
              <w:wordWrap/>
              <w:adjustRightInd/>
              <w:snapToGrid/>
              <w:spacing w:line="260" w:lineRule="exact"/>
              <w:ind w:left="0" w:leftChars="0" w:firstLine="0" w:firstLineChars="0"/>
              <w:jc w:val="lef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 </w:t>
            </w:r>
          </w:p>
          <w:p>
            <w:pPr>
              <w:widowControl w:val="0"/>
              <w:wordWrap/>
              <w:adjustRightInd/>
              <w:snapToGrid/>
              <w:spacing w:line="260" w:lineRule="exact"/>
              <w:ind w:left="0" w:leftChars="0" w:firstLine="0" w:firstLineChars="0"/>
              <w:jc w:val="lef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1"/>
              </w:rPr>
              <w:t xml:space="preserve">符合   </w:t>
            </w: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1"/>
              </w:rPr>
              <w:t>不符合</w:t>
            </w:r>
          </w:p>
          <w:p>
            <w:pPr>
              <w:widowControl w:val="0"/>
              <w:wordWrap/>
              <w:adjustRightInd/>
              <w:snapToGrid/>
              <w:spacing w:line="260" w:lineRule="exact"/>
              <w:ind w:left="0" w:leftChars="0" w:firstLine="0" w:firstLineChars="0"/>
              <w:jc w:val="left"/>
              <w:textAlignment w:val="auto"/>
              <w:rPr>
                <w:rFonts w:hint="eastAsia" w:ascii="仿宋_GB2312" w:hAnsi="仿宋_GB2312" w:eastAsia="仿宋_GB2312" w:cs="仿宋_GB2312"/>
                <w:color w:val="000000"/>
                <w:szCs w:val="21"/>
              </w:rPr>
            </w:pPr>
          </w:p>
          <w:p>
            <w:pPr>
              <w:widowControl w:val="0"/>
              <w:wordWrap/>
              <w:adjustRightInd/>
              <w:snapToGrid/>
              <w:spacing w:line="260" w:lineRule="exact"/>
              <w:ind w:left="0" w:leftChars="0" w:firstLine="0" w:firstLineChars="0"/>
              <w:jc w:val="lef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市级评估组人员签字：</w:t>
            </w:r>
          </w:p>
          <w:p>
            <w:pPr>
              <w:widowControl w:val="0"/>
              <w:wordWrap/>
              <w:adjustRightInd/>
              <w:snapToGrid/>
              <w:spacing w:line="260" w:lineRule="exact"/>
              <w:ind w:left="0" w:leftChars="0" w:firstLine="0" w:firstLineChars="0"/>
              <w:jc w:val="left"/>
              <w:textAlignment w:val="auto"/>
              <w:rPr>
                <w:rFonts w:hint="eastAsia" w:ascii="仿宋_GB2312" w:hAnsi="仿宋_GB2312" w:eastAsia="仿宋_GB2312" w:cs="仿宋_GB2312"/>
                <w:color w:val="000000"/>
                <w:szCs w:val="21"/>
              </w:rPr>
            </w:pPr>
          </w:p>
          <w:p>
            <w:pPr>
              <w:widowControl w:val="0"/>
              <w:wordWrap/>
              <w:adjustRightInd/>
              <w:snapToGrid/>
              <w:spacing w:line="260" w:lineRule="exact"/>
              <w:ind w:left="0" w:leftChars="0" w:firstLine="0" w:firstLineChars="0"/>
              <w:jc w:val="left"/>
              <w:textAlignment w:val="auto"/>
              <w:rPr>
                <w:rFonts w:hint="eastAsia" w:ascii="仿宋_GB2312" w:hAnsi="仿宋_GB2312" w:eastAsia="仿宋_GB2312" w:cs="仿宋_GB2312"/>
                <w:color w:val="000000"/>
                <w:szCs w:val="21"/>
              </w:rPr>
            </w:pPr>
          </w:p>
          <w:p>
            <w:pPr>
              <w:widowControl w:val="0"/>
              <w:wordWrap/>
              <w:adjustRightInd/>
              <w:snapToGrid/>
              <w:spacing w:line="260" w:lineRule="exact"/>
              <w:ind w:left="0" w:leftChars="0" w:firstLine="0" w:firstLineChars="0"/>
              <w:jc w:val="left"/>
              <w:textAlignment w:val="auto"/>
              <w:rPr>
                <w:rFonts w:hint="eastAsia" w:ascii="仿宋_GB2312" w:hAnsi="仿宋_GB2312" w:eastAsia="仿宋_GB2312" w:cs="仿宋_GB2312"/>
                <w:color w:val="000000"/>
                <w:szCs w:val="21"/>
              </w:rPr>
            </w:pPr>
          </w:p>
          <w:p>
            <w:pPr>
              <w:widowControl w:val="0"/>
              <w:wordWrap/>
              <w:adjustRightInd/>
              <w:snapToGrid/>
              <w:spacing w:beforeLines="40" w:line="260" w:lineRule="exact"/>
              <w:ind w:left="0" w:leftChars="0" w:firstLine="0" w:firstLineChars="0"/>
              <w:jc w:val="center"/>
              <w:textAlignment w:val="auto"/>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Cs w:val="21"/>
                <w:lang w:val="en-US" w:eastAsia="zh-CN"/>
              </w:rPr>
              <w:t xml:space="preserve">          </w:t>
            </w:r>
            <w:r>
              <w:rPr>
                <w:rFonts w:hint="eastAsia" w:ascii="仿宋_GB2312" w:hAnsi="仿宋_GB2312" w:eastAsia="仿宋_GB2312" w:cs="仿宋_GB2312"/>
                <w:color w:val="000000"/>
                <w:szCs w:val="21"/>
              </w:rPr>
              <w:t>年  月  日</w:t>
            </w:r>
          </w:p>
        </w:tc>
        <w:tc>
          <w:tcPr>
            <w:tcW w:w="3135" w:type="dxa"/>
            <w:gridSpan w:val="4"/>
            <w:vAlign w:val="top"/>
          </w:tcPr>
          <w:p>
            <w:pPr>
              <w:widowControl w:val="0"/>
              <w:wordWrap/>
              <w:adjustRightInd/>
              <w:snapToGrid/>
              <w:spacing w:beforeLines="20" w:line="260" w:lineRule="exact"/>
              <w:ind w:left="0" w:leftChars="0" w:firstLine="0" w:firstLineChars="0"/>
              <w:jc w:val="lef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是否符合吉林省健康企业认定</w:t>
            </w:r>
          </w:p>
          <w:p>
            <w:pPr>
              <w:widowControl w:val="0"/>
              <w:wordWrap/>
              <w:adjustRightInd/>
              <w:snapToGrid/>
              <w:spacing w:line="260" w:lineRule="exact"/>
              <w:ind w:left="0" w:leftChars="0" w:firstLine="0" w:firstLineChars="0"/>
              <w:jc w:val="lef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条件：</w:t>
            </w:r>
          </w:p>
          <w:p>
            <w:pPr>
              <w:widowControl w:val="0"/>
              <w:wordWrap/>
              <w:adjustRightInd/>
              <w:snapToGrid/>
              <w:spacing w:line="260" w:lineRule="exact"/>
              <w:ind w:left="0" w:leftChars="0" w:firstLine="0" w:firstLineChars="0"/>
              <w:jc w:val="center"/>
              <w:textAlignment w:val="auto"/>
              <w:rPr>
                <w:rFonts w:hint="eastAsia" w:ascii="仿宋_GB2312" w:hAnsi="仿宋_GB2312" w:eastAsia="仿宋_GB2312" w:cs="仿宋_GB2312"/>
                <w:color w:val="000000"/>
                <w:szCs w:val="20"/>
              </w:rPr>
            </w:pPr>
          </w:p>
          <w:p>
            <w:pPr>
              <w:widowControl w:val="0"/>
              <w:wordWrap/>
              <w:adjustRightInd/>
              <w:snapToGrid/>
              <w:spacing w:line="260" w:lineRule="exact"/>
              <w:ind w:left="0" w:leftChars="0" w:firstLine="0" w:firstLineChars="0"/>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1"/>
              </w:rPr>
              <w:t xml:space="preserve">符合   </w:t>
            </w: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1"/>
              </w:rPr>
              <w:t>不符合</w:t>
            </w:r>
          </w:p>
          <w:p>
            <w:pPr>
              <w:widowControl w:val="0"/>
              <w:wordWrap/>
              <w:adjustRightInd/>
              <w:snapToGrid/>
              <w:spacing w:line="260" w:lineRule="exact"/>
              <w:ind w:left="0" w:leftChars="0" w:firstLine="0" w:firstLineChars="0"/>
              <w:jc w:val="center"/>
              <w:textAlignment w:val="auto"/>
              <w:rPr>
                <w:rFonts w:hint="eastAsia" w:ascii="仿宋_GB2312" w:hAnsi="仿宋_GB2312" w:eastAsia="仿宋_GB2312" w:cs="仿宋_GB2312"/>
                <w:color w:val="000000"/>
                <w:szCs w:val="21"/>
              </w:rPr>
            </w:pPr>
          </w:p>
          <w:p>
            <w:pPr>
              <w:widowControl w:val="0"/>
              <w:wordWrap/>
              <w:adjustRightInd/>
              <w:snapToGrid/>
              <w:spacing w:line="260" w:lineRule="exact"/>
              <w:ind w:left="0" w:leftChars="0" w:firstLine="0" w:firstLineChars="0"/>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省级评估组人员签字：</w:t>
            </w:r>
          </w:p>
          <w:p>
            <w:pPr>
              <w:widowControl w:val="0"/>
              <w:wordWrap/>
              <w:adjustRightInd/>
              <w:snapToGrid/>
              <w:spacing w:line="260" w:lineRule="exact"/>
              <w:ind w:left="0" w:leftChars="0" w:firstLine="0" w:firstLineChars="0"/>
              <w:jc w:val="center"/>
              <w:textAlignment w:val="auto"/>
              <w:rPr>
                <w:rFonts w:hint="eastAsia" w:ascii="仿宋_GB2312" w:hAnsi="仿宋_GB2312" w:eastAsia="仿宋_GB2312" w:cs="仿宋_GB2312"/>
                <w:color w:val="000000"/>
                <w:szCs w:val="21"/>
              </w:rPr>
            </w:pPr>
          </w:p>
          <w:p>
            <w:pPr>
              <w:widowControl w:val="0"/>
              <w:wordWrap/>
              <w:adjustRightInd/>
              <w:snapToGrid/>
              <w:spacing w:line="260" w:lineRule="exact"/>
              <w:ind w:left="0" w:leftChars="0" w:firstLine="0" w:firstLineChars="0"/>
              <w:jc w:val="center"/>
              <w:textAlignment w:val="auto"/>
              <w:rPr>
                <w:rFonts w:hint="eastAsia" w:ascii="仿宋_GB2312" w:hAnsi="仿宋_GB2312" w:eastAsia="仿宋_GB2312" w:cs="仿宋_GB2312"/>
                <w:color w:val="000000"/>
                <w:szCs w:val="21"/>
              </w:rPr>
            </w:pPr>
          </w:p>
          <w:p>
            <w:pPr>
              <w:widowControl w:val="0"/>
              <w:wordWrap/>
              <w:adjustRightInd/>
              <w:snapToGrid/>
              <w:spacing w:line="260" w:lineRule="exact"/>
              <w:ind w:left="0" w:leftChars="0" w:firstLine="0" w:firstLineChars="0"/>
              <w:jc w:val="center"/>
              <w:textAlignment w:val="auto"/>
              <w:rPr>
                <w:rFonts w:hint="eastAsia" w:ascii="仿宋_GB2312" w:hAnsi="仿宋_GB2312" w:eastAsia="仿宋_GB2312" w:cs="仿宋_GB2312"/>
                <w:color w:val="000000"/>
                <w:szCs w:val="21"/>
              </w:rPr>
            </w:pPr>
          </w:p>
          <w:p>
            <w:pPr>
              <w:widowControl w:val="0"/>
              <w:wordWrap/>
              <w:adjustRightInd/>
              <w:snapToGrid/>
              <w:spacing w:beforeLines="40" w:line="260" w:lineRule="exact"/>
              <w:ind w:left="0" w:leftChars="0"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Cs w:val="21"/>
                <w:lang w:val="en-US" w:eastAsia="zh-CN"/>
              </w:rPr>
              <w:t xml:space="preserve">          </w:t>
            </w:r>
            <w:r>
              <w:rPr>
                <w:rFonts w:hint="eastAsia" w:ascii="仿宋_GB2312" w:hAnsi="仿宋_GB2312" w:eastAsia="仿宋_GB2312" w:cs="仿宋_GB2312"/>
                <w:color w:val="000000"/>
                <w:szCs w:val="21"/>
              </w:rPr>
              <w:t>年  月  日</w:t>
            </w:r>
          </w:p>
        </w:tc>
      </w:tr>
    </w:tbl>
    <w:p>
      <w:pPr>
        <w:spacing w:line="520" w:lineRule="exact"/>
        <w:jc w:val="left"/>
        <w:rPr>
          <w:rFonts w:ascii="方正仿宋_GBK" w:hAnsi="方正公文小标宋" w:eastAsia="方正仿宋_GBK" w:cs="方正仿宋_GBK"/>
          <w:color w:val="000000"/>
          <w:sz w:val="32"/>
          <w:szCs w:val="20"/>
        </w:rPr>
      </w:pPr>
    </w:p>
    <w:p>
      <w:pPr>
        <w:spacing w:line="520" w:lineRule="exact"/>
        <w:jc w:val="left"/>
        <w:rPr>
          <w:rFonts w:ascii="方正仿宋_GBK" w:hAnsi="方正公文小标宋" w:eastAsia="方正仿宋_GBK" w:cs="方正仿宋_GBK"/>
          <w:color w:val="000000"/>
          <w:sz w:val="32"/>
          <w:szCs w:val="20"/>
        </w:rPr>
      </w:pPr>
    </w:p>
    <w:p>
      <w:pPr>
        <w:pStyle w:val="2"/>
        <w:rPr>
          <w:rFonts w:ascii="方正仿宋_GBK" w:hAnsi="方正公文小标宋" w:eastAsia="方正仿宋_GBK" w:cs="方正仿宋_GBK"/>
          <w:color w:val="000000"/>
          <w:sz w:val="32"/>
          <w:szCs w:val="20"/>
        </w:rPr>
      </w:pPr>
    </w:p>
    <w:p>
      <w:pPr>
        <w:rPr>
          <w:rFonts w:ascii="方正仿宋_GBK" w:hAnsi="方正公文小标宋" w:eastAsia="方正仿宋_GBK" w:cs="方正仿宋_GBK"/>
          <w:color w:val="000000"/>
          <w:sz w:val="32"/>
          <w:szCs w:val="20"/>
        </w:rPr>
      </w:pPr>
    </w:p>
    <w:p>
      <w:pPr>
        <w:pStyle w:val="2"/>
        <w:ind w:left="0" w:leftChars="0" w:firstLine="0" w:firstLineChars="0"/>
      </w:pPr>
    </w:p>
    <w:p>
      <w:pPr>
        <w:spacing w:line="520" w:lineRule="exact"/>
        <w:jc w:val="left"/>
        <w:rPr>
          <w:rFonts w:ascii="黑体" w:hAnsi="黑体" w:eastAsia="黑体"/>
          <w:color w:val="000000"/>
          <w:sz w:val="32"/>
          <w:szCs w:val="32"/>
        </w:rPr>
      </w:pPr>
      <w:r>
        <w:rPr>
          <w:rFonts w:hint="eastAsia" w:ascii="黑体" w:hAnsi="黑体" w:eastAsia="黑体"/>
          <w:color w:val="000000"/>
          <w:sz w:val="32"/>
          <w:szCs w:val="32"/>
        </w:rPr>
        <w:t>附件5</w:t>
      </w:r>
    </w:p>
    <w:p>
      <w:pPr>
        <w:widowControl/>
        <w:spacing w:line="520" w:lineRule="exact"/>
        <w:ind w:firstLine="894" w:firstLineChars="200"/>
        <w:jc w:val="center"/>
        <w:rPr>
          <w:rFonts w:hint="eastAsia" w:ascii="方正小标宋简体" w:hAnsi="方正小标宋简体" w:eastAsia="方正小标宋简体" w:cs="方正小标宋简体"/>
          <w:color w:val="000000"/>
          <w:sz w:val="44"/>
          <w:szCs w:val="44"/>
        </w:rPr>
      </w:pPr>
    </w:p>
    <w:p>
      <w:pPr>
        <w:widowControl/>
        <w:spacing w:line="520" w:lineRule="exact"/>
        <w:ind w:firstLine="894" w:firstLineChars="20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吉林省健康企业上报名单</w:t>
      </w:r>
    </w:p>
    <w:p>
      <w:pPr>
        <w:spacing w:line="520" w:lineRule="exact"/>
        <w:jc w:val="center"/>
        <w:rPr>
          <w:rFonts w:ascii="方正小标宋_GBK" w:hAnsi="Times New Roman" w:eastAsia="方正小标宋_GBK" w:cs="Times New Roman"/>
          <w:color w:val="000000"/>
          <w:sz w:val="36"/>
          <w:szCs w:val="36"/>
        </w:rPr>
      </w:pPr>
    </w:p>
    <w:p>
      <w:pPr>
        <w:widowControl w:val="0"/>
        <w:wordWrap/>
        <w:adjustRightInd/>
        <w:snapToGrid/>
        <w:spacing w:afterLines="30" w:line="520" w:lineRule="exact"/>
        <w:jc w:val="left"/>
        <w:textAlignment w:val="auto"/>
        <w:rPr>
          <w:rFonts w:ascii="方正仿宋_GBK" w:eastAsia="方正仿宋_GBK" w:cs="Times New Roman"/>
          <w:color w:val="000000"/>
          <w:kern w:val="0"/>
          <w:sz w:val="24"/>
          <w:szCs w:val="24"/>
          <w:u w:val="single"/>
        </w:rPr>
      </w:pPr>
      <w:r>
        <w:rPr>
          <w:rFonts w:hint="eastAsia" w:ascii="方正仿宋_GBK" w:eastAsia="方正仿宋_GBK" w:cs="仿宋_GB2312"/>
          <w:color w:val="000000"/>
          <w:kern w:val="0"/>
          <w:sz w:val="24"/>
          <w:szCs w:val="24"/>
          <w:lang w:val="zh-CN"/>
        </w:rPr>
        <w:t xml:space="preserve">填报地区：　　　　　　　　　　　     </w:t>
      </w:r>
      <w:r>
        <w:rPr>
          <w:rFonts w:hint="eastAsia" w:ascii="方正仿宋_GBK" w:eastAsia="方正仿宋_GBK" w:cs="仿宋_GB2312"/>
          <w:color w:val="000000"/>
          <w:kern w:val="0"/>
          <w:sz w:val="24"/>
          <w:szCs w:val="24"/>
        </w:rPr>
        <w:t>填报人：　　　　　　　联系电话：　　　　　　　　填报时间：</w:t>
      </w:r>
    </w:p>
    <w:tbl>
      <w:tblPr>
        <w:tblW w:w="130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0"/>
        <w:gridCol w:w="1323"/>
        <w:gridCol w:w="794"/>
        <w:gridCol w:w="927"/>
        <w:gridCol w:w="531"/>
        <w:gridCol w:w="531"/>
        <w:gridCol w:w="663"/>
        <w:gridCol w:w="794"/>
        <w:gridCol w:w="1072"/>
        <w:gridCol w:w="1100"/>
        <w:gridCol w:w="912"/>
        <w:gridCol w:w="1285"/>
        <w:gridCol w:w="794"/>
        <w:gridCol w:w="682"/>
        <w:gridCol w:w="531"/>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70" w:hRule="exact"/>
          <w:jc w:val="center"/>
        </w:trPr>
        <w:tc>
          <w:tcPr>
            <w:tcW w:w="5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snapToGrid/>
              <w:spacing w:line="400" w:lineRule="exact"/>
              <w:jc w:val="center"/>
              <w:textAlignment w:val="center"/>
              <w:rPr>
                <w:rFonts w:ascii="Times New Roman" w:hAnsi="Times New Roman" w:eastAsia="方正仿宋_GBK" w:cs="Times New Roman"/>
                <w:b/>
                <w:color w:val="auto"/>
                <w:sz w:val="24"/>
                <w:szCs w:val="24"/>
                <w:highlight w:val="none"/>
              </w:rPr>
            </w:pPr>
            <w:r>
              <w:rPr>
                <w:rFonts w:hint="eastAsia" w:ascii="Times New Roman" w:hAnsi="Times New Roman" w:eastAsia="方正仿宋_GBK" w:cs="方正仿宋_GBK"/>
                <w:b/>
                <w:color w:val="auto"/>
                <w:kern w:val="0"/>
                <w:sz w:val="24"/>
                <w:szCs w:val="24"/>
                <w:highlight w:val="none"/>
              </w:rPr>
              <w:t>序号</w:t>
            </w:r>
          </w:p>
        </w:tc>
        <w:tc>
          <w:tcPr>
            <w:tcW w:w="13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snapToGrid/>
              <w:spacing w:line="400" w:lineRule="exact"/>
              <w:jc w:val="center"/>
              <w:textAlignment w:val="center"/>
              <w:rPr>
                <w:rFonts w:ascii="Times New Roman" w:hAnsi="Times New Roman" w:eastAsia="方正仿宋_GBK" w:cs="Times New Roman"/>
                <w:b/>
                <w:color w:val="auto"/>
                <w:sz w:val="24"/>
                <w:szCs w:val="24"/>
                <w:highlight w:val="none"/>
              </w:rPr>
            </w:pPr>
            <w:r>
              <w:rPr>
                <w:rFonts w:hint="eastAsia" w:ascii="Times New Roman" w:hAnsi="Times New Roman" w:eastAsia="方正仿宋_GBK" w:cs="方正仿宋_GBK"/>
                <w:b/>
                <w:color w:val="auto"/>
                <w:kern w:val="0"/>
                <w:sz w:val="24"/>
                <w:szCs w:val="24"/>
                <w:highlight w:val="none"/>
              </w:rPr>
              <w:t>企业名称</w:t>
            </w:r>
          </w:p>
        </w:tc>
        <w:tc>
          <w:tcPr>
            <w:tcW w:w="794"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wordWrap/>
              <w:adjustRightInd/>
              <w:snapToGrid/>
              <w:spacing w:line="400" w:lineRule="exact"/>
              <w:jc w:val="center"/>
              <w:textAlignment w:val="center"/>
              <w:rPr>
                <w:rFonts w:ascii="Times New Roman" w:hAnsi="Times New Roman" w:eastAsia="方正仿宋_GBK" w:cs="Times New Roman"/>
                <w:b/>
                <w:color w:val="auto"/>
                <w:sz w:val="24"/>
                <w:szCs w:val="24"/>
                <w:highlight w:val="none"/>
              </w:rPr>
            </w:pPr>
            <w:r>
              <w:rPr>
                <w:rFonts w:hint="eastAsia" w:ascii="Times New Roman" w:hAnsi="Times New Roman" w:eastAsia="方正仿宋_GBK" w:cs="方正仿宋_GBK"/>
                <w:b/>
                <w:color w:val="auto"/>
                <w:sz w:val="24"/>
                <w:szCs w:val="24"/>
                <w:highlight w:val="none"/>
              </w:rPr>
              <w:t>社会统一信用代码</w:t>
            </w:r>
          </w:p>
        </w:tc>
        <w:tc>
          <w:tcPr>
            <w:tcW w:w="9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snapToGrid/>
              <w:spacing w:line="400" w:lineRule="exact"/>
              <w:jc w:val="center"/>
              <w:textAlignment w:val="center"/>
              <w:rPr>
                <w:rFonts w:ascii="Times New Roman" w:hAnsi="Times New Roman" w:eastAsia="方正仿宋_GBK" w:cs="Times New Roman"/>
                <w:b/>
                <w:color w:val="auto"/>
                <w:sz w:val="24"/>
                <w:szCs w:val="24"/>
                <w:highlight w:val="none"/>
              </w:rPr>
            </w:pPr>
            <w:r>
              <w:rPr>
                <w:rFonts w:hint="eastAsia" w:ascii="Times New Roman" w:hAnsi="Times New Roman" w:eastAsia="方正仿宋_GBK" w:cs="方正仿宋_GBK"/>
                <w:b/>
                <w:color w:val="auto"/>
                <w:kern w:val="0"/>
                <w:sz w:val="24"/>
                <w:szCs w:val="24"/>
                <w:highlight w:val="none"/>
              </w:rPr>
              <w:t>地址</w:t>
            </w:r>
          </w:p>
        </w:tc>
        <w:tc>
          <w:tcPr>
            <w:tcW w:w="5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snapToGrid/>
              <w:spacing w:line="400" w:lineRule="exact"/>
              <w:jc w:val="center"/>
              <w:textAlignment w:val="center"/>
              <w:rPr>
                <w:rFonts w:ascii="Times New Roman" w:hAnsi="Times New Roman" w:eastAsia="方正仿宋_GBK" w:cs="Times New Roman"/>
                <w:b/>
                <w:color w:val="auto"/>
                <w:kern w:val="0"/>
                <w:sz w:val="24"/>
                <w:szCs w:val="24"/>
                <w:highlight w:val="none"/>
              </w:rPr>
            </w:pPr>
            <w:r>
              <w:rPr>
                <w:rFonts w:hint="eastAsia" w:ascii="Times New Roman" w:hAnsi="Times New Roman" w:eastAsia="方正仿宋_GBK" w:cs="方正仿宋_GBK"/>
                <w:b/>
                <w:color w:val="auto"/>
                <w:kern w:val="0"/>
                <w:sz w:val="24"/>
                <w:szCs w:val="24"/>
                <w:highlight w:val="none"/>
              </w:rPr>
              <w:t>企业</w:t>
            </w:r>
          </w:p>
          <w:p>
            <w:pPr>
              <w:widowControl/>
              <w:wordWrap/>
              <w:adjustRightInd/>
              <w:snapToGrid/>
              <w:spacing w:line="400" w:lineRule="exact"/>
              <w:jc w:val="center"/>
              <w:textAlignment w:val="center"/>
              <w:rPr>
                <w:rFonts w:ascii="Times New Roman" w:hAnsi="Times New Roman" w:eastAsia="方正仿宋_GBK" w:cs="Times New Roman"/>
                <w:b/>
                <w:color w:val="auto"/>
                <w:sz w:val="24"/>
                <w:szCs w:val="24"/>
                <w:highlight w:val="none"/>
              </w:rPr>
            </w:pPr>
            <w:r>
              <w:rPr>
                <w:rFonts w:hint="eastAsia" w:ascii="Times New Roman" w:hAnsi="Times New Roman" w:eastAsia="方正仿宋_GBK" w:cs="方正仿宋_GBK"/>
                <w:b/>
                <w:color w:val="auto"/>
                <w:kern w:val="0"/>
                <w:sz w:val="24"/>
                <w:szCs w:val="24"/>
                <w:highlight w:val="none"/>
              </w:rPr>
              <w:t>规模</w:t>
            </w:r>
          </w:p>
        </w:tc>
        <w:tc>
          <w:tcPr>
            <w:tcW w:w="5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snapToGrid/>
              <w:spacing w:line="400" w:lineRule="exact"/>
              <w:jc w:val="center"/>
              <w:textAlignment w:val="center"/>
              <w:rPr>
                <w:rFonts w:ascii="Times New Roman" w:hAnsi="Times New Roman" w:eastAsia="方正仿宋_GBK" w:cs="Times New Roman"/>
                <w:b/>
                <w:color w:val="auto"/>
                <w:kern w:val="0"/>
                <w:sz w:val="24"/>
                <w:szCs w:val="24"/>
                <w:highlight w:val="none"/>
              </w:rPr>
            </w:pPr>
            <w:r>
              <w:rPr>
                <w:rFonts w:hint="eastAsia" w:ascii="Times New Roman" w:hAnsi="Times New Roman" w:eastAsia="方正仿宋_GBK" w:cs="方正仿宋_GBK"/>
                <w:b/>
                <w:color w:val="auto"/>
                <w:kern w:val="0"/>
                <w:sz w:val="24"/>
                <w:szCs w:val="24"/>
                <w:highlight w:val="none"/>
              </w:rPr>
              <w:t>行业</w:t>
            </w:r>
          </w:p>
          <w:p>
            <w:pPr>
              <w:widowControl/>
              <w:wordWrap/>
              <w:adjustRightInd/>
              <w:snapToGrid/>
              <w:spacing w:line="400" w:lineRule="exact"/>
              <w:jc w:val="center"/>
              <w:textAlignment w:val="center"/>
              <w:rPr>
                <w:rFonts w:ascii="Times New Roman" w:hAnsi="Times New Roman" w:eastAsia="方正仿宋_GBK" w:cs="Times New Roman"/>
                <w:b/>
                <w:color w:val="auto"/>
                <w:sz w:val="24"/>
                <w:szCs w:val="24"/>
                <w:highlight w:val="none"/>
              </w:rPr>
            </w:pPr>
            <w:r>
              <w:rPr>
                <w:rFonts w:hint="eastAsia" w:ascii="Times New Roman" w:hAnsi="Times New Roman" w:eastAsia="方正仿宋_GBK" w:cs="方正仿宋_GBK"/>
                <w:b/>
                <w:color w:val="auto"/>
                <w:kern w:val="0"/>
                <w:sz w:val="24"/>
                <w:szCs w:val="24"/>
                <w:highlight w:val="none"/>
              </w:rPr>
              <w:t>分类</w:t>
            </w:r>
          </w:p>
        </w:tc>
        <w:tc>
          <w:tcPr>
            <w:tcW w:w="6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snapToGrid/>
              <w:spacing w:line="400" w:lineRule="exact"/>
              <w:jc w:val="center"/>
              <w:textAlignment w:val="center"/>
              <w:rPr>
                <w:rFonts w:ascii="Times New Roman" w:hAnsi="Times New Roman" w:eastAsia="方正仿宋_GBK" w:cs="Times New Roman"/>
                <w:b/>
                <w:color w:val="auto"/>
                <w:kern w:val="0"/>
                <w:sz w:val="24"/>
                <w:szCs w:val="24"/>
                <w:highlight w:val="none"/>
              </w:rPr>
            </w:pPr>
            <w:r>
              <w:rPr>
                <w:rFonts w:hint="eastAsia" w:ascii="Times New Roman" w:hAnsi="Times New Roman" w:eastAsia="方正仿宋_GBK" w:cs="方正仿宋_GBK"/>
                <w:b/>
                <w:color w:val="auto"/>
                <w:kern w:val="0"/>
                <w:sz w:val="24"/>
                <w:szCs w:val="24"/>
                <w:highlight w:val="none"/>
              </w:rPr>
              <w:t>注册</w:t>
            </w:r>
          </w:p>
          <w:p>
            <w:pPr>
              <w:widowControl/>
              <w:wordWrap/>
              <w:adjustRightInd/>
              <w:snapToGrid/>
              <w:spacing w:line="400" w:lineRule="exact"/>
              <w:jc w:val="center"/>
              <w:textAlignment w:val="center"/>
              <w:rPr>
                <w:rFonts w:ascii="Times New Roman" w:hAnsi="Times New Roman" w:eastAsia="方正仿宋_GBK" w:cs="Times New Roman"/>
                <w:b/>
                <w:color w:val="auto"/>
                <w:sz w:val="24"/>
                <w:szCs w:val="24"/>
                <w:highlight w:val="none"/>
              </w:rPr>
            </w:pPr>
            <w:r>
              <w:rPr>
                <w:rFonts w:hint="eastAsia" w:ascii="Times New Roman" w:hAnsi="Times New Roman" w:eastAsia="方正仿宋_GBK" w:cs="方正仿宋_GBK"/>
                <w:b/>
                <w:color w:val="auto"/>
                <w:kern w:val="0"/>
                <w:sz w:val="24"/>
                <w:szCs w:val="24"/>
                <w:highlight w:val="none"/>
              </w:rPr>
              <w:t>类型</w:t>
            </w:r>
          </w:p>
        </w:tc>
        <w:tc>
          <w:tcPr>
            <w:tcW w:w="7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snapToGrid/>
              <w:spacing w:line="400" w:lineRule="exact"/>
              <w:jc w:val="center"/>
              <w:textAlignment w:val="center"/>
              <w:rPr>
                <w:rFonts w:ascii="Times New Roman" w:hAnsi="Times New Roman" w:eastAsia="方正仿宋_GBK" w:cs="Times New Roman"/>
                <w:b/>
                <w:color w:val="auto"/>
                <w:kern w:val="0"/>
                <w:sz w:val="24"/>
                <w:szCs w:val="24"/>
                <w:highlight w:val="none"/>
              </w:rPr>
            </w:pPr>
            <w:r>
              <w:rPr>
                <w:rFonts w:hint="eastAsia" w:ascii="Times New Roman" w:hAnsi="Times New Roman" w:eastAsia="方正仿宋_GBK" w:cs="方正仿宋_GBK"/>
                <w:b/>
                <w:color w:val="auto"/>
                <w:kern w:val="0"/>
                <w:sz w:val="24"/>
                <w:szCs w:val="24"/>
                <w:highlight w:val="none"/>
              </w:rPr>
              <w:t>职工</w:t>
            </w:r>
          </w:p>
          <w:p>
            <w:pPr>
              <w:widowControl/>
              <w:wordWrap/>
              <w:adjustRightInd/>
              <w:snapToGrid/>
              <w:spacing w:line="400" w:lineRule="exact"/>
              <w:jc w:val="center"/>
              <w:textAlignment w:val="center"/>
              <w:rPr>
                <w:rFonts w:ascii="Times New Roman" w:hAnsi="Times New Roman" w:eastAsia="方正仿宋_GBK" w:cs="Times New Roman"/>
                <w:b/>
                <w:color w:val="auto"/>
                <w:sz w:val="24"/>
                <w:szCs w:val="24"/>
                <w:highlight w:val="none"/>
              </w:rPr>
            </w:pPr>
            <w:r>
              <w:rPr>
                <w:rFonts w:hint="eastAsia" w:ascii="Times New Roman" w:hAnsi="Times New Roman" w:eastAsia="方正仿宋_GBK" w:cs="方正仿宋_GBK"/>
                <w:b/>
                <w:color w:val="auto"/>
                <w:kern w:val="0"/>
                <w:sz w:val="24"/>
                <w:szCs w:val="24"/>
                <w:highlight w:val="none"/>
              </w:rPr>
              <w:t>总人数</w:t>
            </w:r>
          </w:p>
        </w:tc>
        <w:tc>
          <w:tcPr>
            <w:tcW w:w="10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snapToGrid/>
              <w:spacing w:line="400" w:lineRule="exact"/>
              <w:jc w:val="center"/>
              <w:textAlignment w:val="center"/>
              <w:rPr>
                <w:rFonts w:ascii="Times New Roman" w:hAnsi="Times New Roman" w:eastAsia="方正仿宋_GBK" w:cs="Times New Roman"/>
                <w:b/>
                <w:color w:val="auto"/>
                <w:sz w:val="24"/>
                <w:szCs w:val="24"/>
                <w:highlight w:val="none"/>
              </w:rPr>
            </w:pPr>
            <w:r>
              <w:rPr>
                <w:rFonts w:ascii="Times New Roman" w:hAnsi="Times New Roman" w:eastAsia="方正仿宋_GBK" w:cs="Times New Roman"/>
                <w:b/>
                <w:color w:val="auto"/>
                <w:kern w:val="0"/>
                <w:sz w:val="24"/>
                <w:szCs w:val="24"/>
                <w:highlight w:val="none"/>
              </w:rPr>
              <w:t>5</w:t>
            </w:r>
            <w:r>
              <w:rPr>
                <w:rFonts w:hint="eastAsia" w:ascii="Times New Roman" w:hAnsi="Times New Roman" w:eastAsia="方正仿宋_GBK" w:cs="方正仿宋_GBK"/>
                <w:b/>
                <w:color w:val="auto"/>
                <w:kern w:val="0"/>
                <w:sz w:val="24"/>
                <w:szCs w:val="24"/>
                <w:highlight w:val="none"/>
              </w:rPr>
              <w:t>年内新增职业病人总数</w:t>
            </w:r>
          </w:p>
        </w:tc>
        <w:tc>
          <w:tcPr>
            <w:tcW w:w="1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snapToGrid/>
              <w:spacing w:line="400" w:lineRule="exact"/>
              <w:jc w:val="center"/>
              <w:textAlignment w:val="center"/>
              <w:rPr>
                <w:rFonts w:ascii="Times New Roman" w:hAnsi="Times New Roman" w:eastAsia="方正仿宋_GBK" w:cs="Times New Roman"/>
                <w:b/>
                <w:color w:val="auto"/>
                <w:kern w:val="0"/>
                <w:sz w:val="24"/>
                <w:szCs w:val="24"/>
                <w:highlight w:val="none"/>
              </w:rPr>
            </w:pPr>
            <w:r>
              <w:rPr>
                <w:rFonts w:hint="eastAsia" w:ascii="Times New Roman" w:hAnsi="Times New Roman" w:eastAsia="方正仿宋_GBK" w:cs="方正仿宋_GBK"/>
                <w:b/>
                <w:color w:val="auto"/>
                <w:kern w:val="0"/>
                <w:sz w:val="24"/>
                <w:szCs w:val="24"/>
                <w:highlight w:val="none"/>
              </w:rPr>
              <w:t>职业健康达人</w:t>
            </w:r>
            <w:r>
              <w:rPr>
                <w:rFonts w:ascii="Times New Roman" w:hAnsi="Times New Roman" w:eastAsia="方正仿宋_GBK" w:cs="Times New Roman"/>
                <w:b/>
                <w:color w:val="auto"/>
                <w:kern w:val="0"/>
                <w:sz w:val="24"/>
                <w:szCs w:val="24"/>
                <w:highlight w:val="none"/>
              </w:rPr>
              <w:t>/</w:t>
            </w:r>
            <w:r>
              <w:rPr>
                <w:rFonts w:hint="eastAsia" w:ascii="Times New Roman" w:hAnsi="Times New Roman" w:eastAsia="方正仿宋_GBK" w:cs="方正仿宋_GBK"/>
                <w:b/>
                <w:color w:val="auto"/>
                <w:kern w:val="0"/>
                <w:sz w:val="24"/>
                <w:szCs w:val="24"/>
                <w:highlight w:val="none"/>
              </w:rPr>
              <w:t>健康达人数量</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snapToGrid/>
              <w:spacing w:line="400" w:lineRule="exact"/>
              <w:jc w:val="center"/>
              <w:textAlignment w:val="center"/>
              <w:rPr>
                <w:rFonts w:ascii="Times New Roman" w:hAnsi="Times New Roman" w:eastAsia="方正仿宋_GBK" w:cs="Times New Roman"/>
                <w:b/>
                <w:color w:val="auto"/>
                <w:sz w:val="24"/>
                <w:szCs w:val="24"/>
                <w:highlight w:val="none"/>
              </w:rPr>
            </w:pPr>
            <w:r>
              <w:rPr>
                <w:rFonts w:hint="eastAsia" w:ascii="Times New Roman" w:hAnsi="Times New Roman" w:eastAsia="方正仿宋_GBK" w:cs="方正仿宋_GBK"/>
                <w:b/>
                <w:color w:val="auto"/>
                <w:kern w:val="0"/>
                <w:sz w:val="24"/>
                <w:szCs w:val="24"/>
                <w:highlight w:val="none"/>
              </w:rPr>
              <w:t>联系人</w:t>
            </w:r>
          </w:p>
        </w:tc>
        <w:tc>
          <w:tcPr>
            <w:tcW w:w="12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snapToGrid/>
              <w:spacing w:line="400" w:lineRule="exact"/>
              <w:jc w:val="center"/>
              <w:textAlignment w:val="center"/>
              <w:rPr>
                <w:rFonts w:ascii="Times New Roman" w:hAnsi="Times New Roman" w:eastAsia="方正仿宋_GBK" w:cs="Times New Roman"/>
                <w:b/>
                <w:color w:val="auto"/>
                <w:sz w:val="24"/>
                <w:szCs w:val="24"/>
                <w:highlight w:val="none"/>
              </w:rPr>
            </w:pPr>
            <w:r>
              <w:rPr>
                <w:rFonts w:hint="eastAsia" w:ascii="Times New Roman" w:hAnsi="Times New Roman" w:eastAsia="方正仿宋_GBK" w:cs="方正仿宋_GBK"/>
                <w:b/>
                <w:color w:val="auto"/>
                <w:kern w:val="0"/>
                <w:sz w:val="24"/>
                <w:szCs w:val="24"/>
                <w:highlight w:val="none"/>
              </w:rPr>
              <w:t>联系电话</w:t>
            </w:r>
          </w:p>
        </w:tc>
        <w:tc>
          <w:tcPr>
            <w:tcW w:w="7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snapToGrid/>
              <w:spacing w:line="400" w:lineRule="exact"/>
              <w:jc w:val="center"/>
              <w:textAlignment w:val="center"/>
              <w:rPr>
                <w:rFonts w:ascii="Times New Roman" w:hAnsi="Times New Roman" w:eastAsia="方正仿宋_GBK" w:cs="方正仿宋_GBK"/>
                <w:b/>
                <w:color w:val="auto"/>
                <w:kern w:val="0"/>
                <w:sz w:val="24"/>
                <w:szCs w:val="24"/>
                <w:highlight w:val="none"/>
              </w:rPr>
            </w:pPr>
            <w:r>
              <w:rPr>
                <w:rFonts w:hint="eastAsia" w:ascii="Times New Roman" w:hAnsi="Times New Roman" w:eastAsia="方正仿宋_GBK" w:cs="方正仿宋_GBK"/>
                <w:b/>
                <w:color w:val="auto"/>
                <w:kern w:val="0"/>
                <w:sz w:val="24"/>
                <w:szCs w:val="24"/>
                <w:highlight w:val="none"/>
              </w:rPr>
              <w:t>企业</w:t>
            </w:r>
          </w:p>
          <w:p>
            <w:pPr>
              <w:widowControl/>
              <w:wordWrap/>
              <w:adjustRightInd/>
              <w:snapToGrid/>
              <w:spacing w:line="400" w:lineRule="exact"/>
              <w:jc w:val="center"/>
              <w:textAlignment w:val="center"/>
              <w:rPr>
                <w:rFonts w:ascii="Times New Roman" w:hAnsi="Times New Roman" w:eastAsia="方正仿宋_GBK" w:cs="Times New Roman"/>
                <w:b/>
                <w:color w:val="auto"/>
                <w:kern w:val="0"/>
                <w:sz w:val="24"/>
                <w:szCs w:val="24"/>
                <w:highlight w:val="none"/>
              </w:rPr>
            </w:pPr>
            <w:r>
              <w:rPr>
                <w:rFonts w:hint="eastAsia" w:ascii="Times New Roman" w:hAnsi="Times New Roman" w:eastAsia="方正仿宋_GBK" w:cs="方正仿宋_GBK"/>
                <w:b/>
                <w:color w:val="auto"/>
                <w:kern w:val="0"/>
                <w:sz w:val="24"/>
                <w:szCs w:val="24"/>
                <w:highlight w:val="none"/>
              </w:rPr>
              <w:t>自评分</w:t>
            </w:r>
          </w:p>
        </w:tc>
        <w:tc>
          <w:tcPr>
            <w:tcW w:w="6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snapToGrid/>
              <w:spacing w:line="400" w:lineRule="exact"/>
              <w:jc w:val="center"/>
              <w:textAlignment w:val="center"/>
              <w:rPr>
                <w:rFonts w:ascii="Times New Roman" w:hAnsi="Times New Roman" w:eastAsia="方正仿宋_GBK" w:cs="Times New Roman"/>
                <w:b/>
                <w:color w:val="auto"/>
                <w:kern w:val="0"/>
                <w:sz w:val="24"/>
                <w:szCs w:val="24"/>
                <w:highlight w:val="none"/>
              </w:rPr>
            </w:pPr>
            <w:r>
              <w:rPr>
                <w:rFonts w:hint="eastAsia" w:ascii="Times New Roman" w:hAnsi="Times New Roman" w:eastAsia="方正仿宋_GBK" w:cs="方正仿宋_GBK"/>
                <w:b/>
                <w:color w:val="auto"/>
                <w:kern w:val="0"/>
                <w:sz w:val="24"/>
                <w:szCs w:val="24"/>
                <w:highlight w:val="none"/>
              </w:rPr>
              <w:t>县级评分</w:t>
            </w:r>
          </w:p>
        </w:tc>
        <w:tc>
          <w:tcPr>
            <w:tcW w:w="531"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wordWrap/>
              <w:adjustRightInd/>
              <w:snapToGrid/>
              <w:spacing w:line="400" w:lineRule="exact"/>
              <w:jc w:val="center"/>
              <w:textAlignment w:val="center"/>
              <w:rPr>
                <w:rFonts w:ascii="Times New Roman" w:hAnsi="Times New Roman" w:eastAsia="方正仿宋_GBK" w:cs="Times New Roman"/>
                <w:b/>
                <w:color w:val="auto"/>
                <w:kern w:val="0"/>
                <w:sz w:val="24"/>
                <w:szCs w:val="24"/>
                <w:highlight w:val="none"/>
              </w:rPr>
            </w:pPr>
            <w:r>
              <w:rPr>
                <w:rFonts w:hint="eastAsia" w:ascii="Times New Roman" w:hAnsi="Times New Roman" w:eastAsia="方正仿宋_GBK" w:cs="方正仿宋_GBK"/>
                <w:b/>
                <w:color w:val="auto"/>
                <w:kern w:val="0"/>
                <w:sz w:val="24"/>
                <w:szCs w:val="24"/>
                <w:highlight w:val="none"/>
              </w:rPr>
              <w:t>市级评分</w:t>
            </w:r>
          </w:p>
        </w:tc>
        <w:tc>
          <w:tcPr>
            <w:tcW w:w="570" w:type="dxa"/>
            <w:tcBorders>
              <w:top w:val="single" w:color="auto" w:sz="4" w:space="0"/>
              <w:left w:val="single" w:color="auto" w:sz="4" w:space="0"/>
              <w:bottom w:val="single" w:color="000000" w:sz="4" w:space="0"/>
              <w:right w:val="single" w:color="auto" w:sz="4" w:space="0"/>
            </w:tcBorders>
            <w:tcMar>
              <w:top w:w="12" w:type="dxa"/>
              <w:left w:w="12" w:type="dxa"/>
              <w:right w:w="12" w:type="dxa"/>
            </w:tcMar>
            <w:vAlign w:val="center"/>
          </w:tcPr>
          <w:p>
            <w:pPr>
              <w:widowControl/>
              <w:wordWrap/>
              <w:adjustRightInd/>
              <w:snapToGrid/>
              <w:spacing w:line="400" w:lineRule="exact"/>
              <w:jc w:val="left"/>
              <w:textAlignment w:val="center"/>
              <w:rPr>
                <w:rFonts w:ascii="Times New Roman" w:hAnsi="Times New Roman" w:eastAsia="方正仿宋_GBK" w:cs="Times New Roman"/>
                <w:b/>
                <w:color w:val="auto"/>
                <w:kern w:val="0"/>
                <w:sz w:val="24"/>
                <w:szCs w:val="24"/>
                <w:highlight w:val="none"/>
              </w:rPr>
            </w:pPr>
            <w:r>
              <w:rPr>
                <w:rFonts w:hint="eastAsia" w:ascii="Times New Roman" w:hAnsi="Times New Roman" w:eastAsia="方正仿宋_GBK" w:cs="方正仿宋_GBK"/>
                <w:b/>
                <w:color w:val="auto"/>
                <w:kern w:val="0"/>
                <w:sz w:val="24"/>
                <w:szCs w:val="24"/>
                <w:highlight w:val="none"/>
              </w:rPr>
              <w:t>省级评分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jc w:val="center"/>
        </w:trPr>
        <w:tc>
          <w:tcPr>
            <w:tcW w:w="5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13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794"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5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5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6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7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10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1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12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7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531"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570" w:type="dxa"/>
            <w:tcBorders>
              <w:top w:val="single" w:color="000000" w:sz="4" w:space="0"/>
              <w:left w:val="single" w:color="auto" w:sz="4" w:space="0"/>
              <w:bottom w:val="single" w:color="000000" w:sz="4" w:space="0"/>
              <w:right w:val="single" w:color="auto"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jc w:val="center"/>
        </w:trPr>
        <w:tc>
          <w:tcPr>
            <w:tcW w:w="5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13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794"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5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5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6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7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10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1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12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7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531"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570" w:type="dxa"/>
            <w:tcBorders>
              <w:top w:val="single" w:color="000000" w:sz="4" w:space="0"/>
              <w:left w:val="single" w:color="auto" w:sz="4" w:space="0"/>
              <w:bottom w:val="single" w:color="000000" w:sz="4" w:space="0"/>
              <w:right w:val="single" w:color="auto"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jc w:val="center"/>
        </w:trPr>
        <w:tc>
          <w:tcPr>
            <w:tcW w:w="5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13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794"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5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5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6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7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10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1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12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7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531"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570" w:type="dxa"/>
            <w:tcBorders>
              <w:top w:val="single" w:color="000000" w:sz="4" w:space="0"/>
              <w:left w:val="single" w:color="auto" w:sz="4" w:space="0"/>
              <w:bottom w:val="single" w:color="000000" w:sz="4" w:space="0"/>
              <w:right w:val="single" w:color="auto"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jc w:val="center"/>
        </w:trPr>
        <w:tc>
          <w:tcPr>
            <w:tcW w:w="5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13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794"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5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5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6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7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10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1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12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7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531"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570" w:type="dxa"/>
            <w:tcBorders>
              <w:top w:val="single" w:color="000000" w:sz="4" w:space="0"/>
              <w:left w:val="single" w:color="auto" w:sz="4" w:space="0"/>
              <w:bottom w:val="single" w:color="000000" w:sz="4" w:space="0"/>
              <w:right w:val="single" w:color="auto"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jc w:val="center"/>
        </w:trPr>
        <w:tc>
          <w:tcPr>
            <w:tcW w:w="5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13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794"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5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5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6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7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10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1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12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7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531"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570" w:type="dxa"/>
            <w:tcBorders>
              <w:top w:val="single" w:color="000000" w:sz="4" w:space="0"/>
              <w:left w:val="single" w:color="auto" w:sz="4" w:space="0"/>
              <w:bottom w:val="single" w:color="000000" w:sz="4" w:space="0"/>
              <w:right w:val="single" w:color="auto"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jc w:val="center"/>
        </w:trPr>
        <w:tc>
          <w:tcPr>
            <w:tcW w:w="5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13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794"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5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5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6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7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10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1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12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7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531"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c>
          <w:tcPr>
            <w:tcW w:w="570" w:type="dxa"/>
            <w:tcBorders>
              <w:top w:val="single" w:color="000000" w:sz="4" w:space="0"/>
              <w:left w:val="single" w:color="auto" w:sz="4" w:space="0"/>
              <w:bottom w:val="single" w:color="000000" w:sz="4" w:space="0"/>
              <w:right w:val="single" w:color="auto" w:sz="4" w:space="0"/>
            </w:tcBorders>
            <w:tcMar>
              <w:top w:w="12" w:type="dxa"/>
              <w:left w:w="12" w:type="dxa"/>
              <w:right w:w="12" w:type="dxa"/>
            </w:tcMar>
            <w:vAlign w:val="center"/>
          </w:tcPr>
          <w:p>
            <w:pPr>
              <w:spacing w:line="520" w:lineRule="exact"/>
              <w:rPr>
                <w:rFonts w:ascii="Times New Roman" w:hAnsi="Times New Roman" w:eastAsia="方正仿宋_GBK" w:cs="Times New Roman"/>
                <w:color w:val="000000"/>
                <w:sz w:val="24"/>
                <w:szCs w:val="24"/>
              </w:rPr>
            </w:pPr>
          </w:p>
        </w:tc>
      </w:tr>
    </w:tbl>
    <w:p>
      <w:pPr>
        <w:pStyle w:val="2"/>
        <w:sectPr>
          <w:pgSz w:w="16838" w:h="11906" w:orient="landscape"/>
          <w:pgMar w:top="1440" w:right="1803" w:bottom="1440" w:left="1803" w:header="851" w:footer="1134" w:gutter="0"/>
          <w:pgNumType w:fmt="decimal"/>
          <w:cols w:space="720" w:num="1"/>
          <w:rtlGutter w:val="0"/>
          <w:docGrid w:type="linesAndChars" w:linePitch="589" w:charSpace="1554"/>
        </w:sectPr>
      </w:pPr>
    </w:p>
    <w:p>
      <w:pPr>
        <w:spacing w:line="520" w:lineRule="exact"/>
        <w:rPr>
          <w:rFonts w:ascii="黑体" w:hAnsi="黑体" w:eastAsia="黑体"/>
          <w:color w:val="000000"/>
          <w:sz w:val="32"/>
          <w:szCs w:val="32"/>
        </w:rPr>
      </w:pPr>
      <w:r>
        <w:rPr>
          <w:rFonts w:hint="eastAsia" w:ascii="黑体" w:hAnsi="黑体" w:eastAsia="黑体"/>
          <w:color w:val="000000"/>
          <w:sz w:val="32"/>
          <w:szCs w:val="32"/>
        </w:rPr>
        <w:t>附件6</w:t>
      </w:r>
    </w:p>
    <w:p>
      <w:pPr>
        <w:widowControl/>
        <w:spacing w:line="520" w:lineRule="exact"/>
        <w:ind w:firstLine="451" w:firstLineChars="100"/>
        <w:rPr>
          <w:rFonts w:ascii="方正小标宋_GBK" w:hAnsi="方正公文小标宋" w:eastAsia="方正小标宋_GBK" w:cs="方正小标宋_GBK"/>
          <w:color w:val="000000"/>
          <w:sz w:val="44"/>
          <w:szCs w:val="44"/>
        </w:rPr>
      </w:pPr>
    </w:p>
    <w:p>
      <w:pPr>
        <w:widowControl/>
        <w:spacing w:line="52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吉林省健康企业建设任务分配表(2022年)</w:t>
      </w:r>
    </w:p>
    <w:p>
      <w:pPr>
        <w:widowControl/>
        <w:spacing w:line="520" w:lineRule="exact"/>
        <w:ind w:firstLine="451" w:firstLineChars="100"/>
        <w:rPr>
          <w:rFonts w:ascii="方正小标宋_GBK" w:hAnsi="方正公文小标宋" w:eastAsia="方正小标宋_GBK" w:cs="方正小标宋_GBK"/>
          <w:color w:val="000000"/>
          <w:sz w:val="44"/>
          <w:szCs w:val="44"/>
        </w:rPr>
      </w:pPr>
    </w:p>
    <w:tbl>
      <w:tblPr>
        <w:tblW w:w="85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76"/>
        <w:gridCol w:w="3658"/>
        <w:gridCol w:w="3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9" w:hRule="exac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spacing w:val="-1"/>
                <w:kern w:val="0"/>
                <w:sz w:val="32"/>
                <w:szCs w:val="32"/>
              </w:rPr>
              <w:t>序号</w:t>
            </w:r>
          </w:p>
        </w:tc>
        <w:tc>
          <w:tcPr>
            <w:tcW w:w="365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spacing w:val="-1"/>
                <w:kern w:val="0"/>
                <w:sz w:val="32"/>
                <w:szCs w:val="32"/>
              </w:rPr>
              <w:t>所在市</w:t>
            </w:r>
          </w:p>
        </w:tc>
        <w:tc>
          <w:tcPr>
            <w:tcW w:w="357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建设评估企业数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exac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w:t>
            </w:r>
          </w:p>
        </w:tc>
        <w:tc>
          <w:tcPr>
            <w:tcW w:w="365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长春市</w:t>
            </w:r>
          </w:p>
        </w:tc>
        <w:tc>
          <w:tcPr>
            <w:tcW w:w="357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exac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w:t>
            </w:r>
          </w:p>
        </w:tc>
        <w:tc>
          <w:tcPr>
            <w:tcW w:w="365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吉林市</w:t>
            </w:r>
          </w:p>
        </w:tc>
        <w:tc>
          <w:tcPr>
            <w:tcW w:w="357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exac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w:t>
            </w:r>
          </w:p>
        </w:tc>
        <w:tc>
          <w:tcPr>
            <w:tcW w:w="365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四平市</w:t>
            </w:r>
          </w:p>
        </w:tc>
        <w:tc>
          <w:tcPr>
            <w:tcW w:w="357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exac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4</w:t>
            </w:r>
          </w:p>
        </w:tc>
        <w:tc>
          <w:tcPr>
            <w:tcW w:w="365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辽源市</w:t>
            </w:r>
          </w:p>
        </w:tc>
        <w:tc>
          <w:tcPr>
            <w:tcW w:w="357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exac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5</w:t>
            </w:r>
          </w:p>
        </w:tc>
        <w:tc>
          <w:tcPr>
            <w:tcW w:w="365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通化市</w:t>
            </w:r>
          </w:p>
        </w:tc>
        <w:tc>
          <w:tcPr>
            <w:tcW w:w="357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exac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6</w:t>
            </w:r>
          </w:p>
        </w:tc>
        <w:tc>
          <w:tcPr>
            <w:tcW w:w="365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白山市</w:t>
            </w:r>
          </w:p>
        </w:tc>
        <w:tc>
          <w:tcPr>
            <w:tcW w:w="357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exac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7</w:t>
            </w:r>
          </w:p>
        </w:tc>
        <w:tc>
          <w:tcPr>
            <w:tcW w:w="365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松原市</w:t>
            </w:r>
          </w:p>
        </w:tc>
        <w:tc>
          <w:tcPr>
            <w:tcW w:w="357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exac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8</w:t>
            </w:r>
          </w:p>
        </w:tc>
        <w:tc>
          <w:tcPr>
            <w:tcW w:w="365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白城市</w:t>
            </w:r>
          </w:p>
        </w:tc>
        <w:tc>
          <w:tcPr>
            <w:tcW w:w="357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exac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仿宋_GB2312" w:eastAsia="仿宋_GB2312" w:cs="仿宋_GB2312"/>
                <w:color w:val="000000"/>
                <w:kern w:val="0"/>
                <w:sz w:val="30"/>
                <w:szCs w:val="30"/>
                <w:lang w:eastAsia="en-US"/>
              </w:rPr>
            </w:pPr>
            <w:r>
              <w:rPr>
                <w:rFonts w:hint="eastAsia" w:ascii="仿宋_GB2312" w:hAnsi="仿宋_GB2312" w:eastAsia="仿宋_GB2312" w:cs="仿宋_GB2312"/>
                <w:color w:val="000000"/>
                <w:kern w:val="0"/>
                <w:sz w:val="30"/>
                <w:szCs w:val="30"/>
                <w:lang w:eastAsia="en-US"/>
              </w:rPr>
              <w:t>9</w:t>
            </w:r>
          </w:p>
        </w:tc>
        <w:tc>
          <w:tcPr>
            <w:tcW w:w="365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延边州</w:t>
            </w:r>
          </w:p>
        </w:tc>
        <w:tc>
          <w:tcPr>
            <w:tcW w:w="357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exac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仿宋_GB2312" w:eastAsia="仿宋_GB2312" w:cs="仿宋_GB2312"/>
                <w:color w:val="000000"/>
                <w:kern w:val="0"/>
                <w:sz w:val="30"/>
                <w:szCs w:val="30"/>
                <w:lang w:eastAsia="en-US"/>
              </w:rPr>
            </w:pPr>
            <w:r>
              <w:rPr>
                <w:rFonts w:hint="eastAsia" w:ascii="仿宋_GB2312" w:hAnsi="仿宋_GB2312" w:eastAsia="仿宋_GB2312" w:cs="仿宋_GB2312"/>
                <w:color w:val="000000"/>
                <w:spacing w:val="-2"/>
                <w:kern w:val="0"/>
                <w:sz w:val="30"/>
                <w:szCs w:val="30"/>
                <w:lang w:eastAsia="en-US"/>
              </w:rPr>
              <w:t>10</w:t>
            </w:r>
          </w:p>
        </w:tc>
        <w:tc>
          <w:tcPr>
            <w:tcW w:w="365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长白山保护开发区</w:t>
            </w:r>
          </w:p>
        </w:tc>
        <w:tc>
          <w:tcPr>
            <w:tcW w:w="357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exac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仿宋_GB2312" w:eastAsia="仿宋_GB2312" w:cs="仿宋_GB2312"/>
                <w:color w:val="000000"/>
                <w:kern w:val="0"/>
                <w:sz w:val="30"/>
                <w:szCs w:val="30"/>
                <w:lang w:eastAsia="en-US"/>
              </w:rPr>
            </w:pPr>
            <w:r>
              <w:rPr>
                <w:rFonts w:hint="eastAsia" w:ascii="仿宋_GB2312" w:hAnsi="仿宋_GB2312" w:eastAsia="仿宋_GB2312" w:cs="仿宋_GB2312"/>
                <w:color w:val="000000"/>
                <w:spacing w:val="-2"/>
                <w:kern w:val="0"/>
                <w:sz w:val="30"/>
                <w:szCs w:val="30"/>
                <w:lang w:eastAsia="en-US"/>
              </w:rPr>
              <w:t>11</w:t>
            </w:r>
          </w:p>
        </w:tc>
        <w:tc>
          <w:tcPr>
            <w:tcW w:w="365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梅河口市</w:t>
            </w:r>
          </w:p>
        </w:tc>
        <w:tc>
          <w:tcPr>
            <w:tcW w:w="357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exact"/>
          <w:jc w:val="center"/>
        </w:trPr>
        <w:tc>
          <w:tcPr>
            <w:tcW w:w="4934"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合计</w:t>
            </w:r>
          </w:p>
        </w:tc>
        <w:tc>
          <w:tcPr>
            <w:tcW w:w="357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100</w:t>
            </w:r>
          </w:p>
        </w:tc>
      </w:tr>
    </w:tbl>
    <w:p>
      <w:pPr>
        <w:spacing w:line="520" w:lineRule="exact"/>
        <w:jc w:val="left"/>
        <w:rPr>
          <w:rFonts w:ascii="方正仿宋_GBK" w:hAnsi="Times New Roman" w:eastAsia="方正仿宋_GBK" w:cs="方正仿宋_GBK"/>
          <w:color w:val="000000"/>
          <w:sz w:val="32"/>
          <w:szCs w:val="32"/>
        </w:rPr>
      </w:pPr>
      <w:r>
        <w:rPr>
          <w:rFonts w:hint="eastAsia" w:ascii="宋体" w:hAnsi="宋体" w:eastAsia="仿宋_GB2312" w:cs="Arial Unicode MS"/>
          <w:color w:val="000000"/>
          <w:sz w:val="24"/>
          <w:szCs w:val="24"/>
        </w:rPr>
        <w:t xml:space="preserve"> 说明：参加省级健康企业建设评估的企业数不少于各地区任务数的70%。</w:t>
      </w:r>
    </w:p>
    <w:p>
      <w:pPr>
        <w:spacing w:line="520" w:lineRule="exact"/>
        <w:jc w:val="left"/>
        <w:rPr>
          <w:rFonts w:ascii="宋体" w:hAnsi="宋体" w:eastAsia="仿宋_GB2312" w:cs="Arial Unicode MS"/>
          <w:color w:val="000000"/>
          <w:sz w:val="24"/>
          <w:szCs w:val="24"/>
        </w:rPr>
      </w:pPr>
    </w:p>
    <w:p>
      <w:pPr>
        <w:spacing w:line="520" w:lineRule="exact"/>
        <w:jc w:val="left"/>
        <w:rPr>
          <w:rFonts w:ascii="宋体" w:hAnsi="宋体" w:eastAsia="仿宋_GB2312" w:cs="Arial Unicode MS"/>
          <w:color w:val="000000"/>
          <w:sz w:val="24"/>
          <w:szCs w:val="24"/>
        </w:rPr>
      </w:pPr>
    </w:p>
    <w:sectPr>
      <w:pgSz w:w="11906" w:h="16838"/>
      <w:pgMar w:top="1440" w:right="1803" w:bottom="1440" w:left="1803" w:header="851" w:footer="1134" w:gutter="0"/>
      <w:pgNumType w:fmt="decimal"/>
      <w:cols w:space="720" w:num="1"/>
      <w:rtlGutter w:val="0"/>
      <w:docGrid w:type="linesAndChars" w:linePitch="607" w:charSpace="22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auto"/>
    <w:pitch w:val="default"/>
    <w:sig w:usb0="00000001" w:usb1="080E0000" w:usb2="00000000" w:usb3="00000000" w:csb0="00040000" w:csb1="00000000"/>
  </w:font>
  <w:font w:name="方正公文小标宋">
    <w:altName w:val="宋体"/>
    <w:panose1 w:val="00000000000000000000"/>
    <w:charset w:val="86"/>
    <w:family w:val="auto"/>
    <w:pitch w:val="default"/>
    <w:sig w:usb0="00000000" w:usb1="00000000" w:usb2="00000010" w:usb3="00000000" w:csb0="00040000" w:csb1="00000000"/>
  </w:font>
  <w:font w:name="方正黑体_GBK">
    <w:altName w:val="黑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1" w:usb1="080E0000" w:usb2="00000000" w:usb3="00000000" w:csb0="00040000" w:csb1="00000000"/>
  </w:font>
  <w:font w:name="方正黑体简体">
    <w:altName w:val="黑体"/>
    <w:panose1 w:val="03000509000000000000"/>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Arial Unicode MS">
    <w:altName w:val="宋体"/>
    <w:panose1 w:val="020B0604020202020204"/>
    <w:charset w:val="86"/>
    <w:family w:val="auto"/>
    <w:pitch w:val="default"/>
    <w:sig w:usb0="FFFFFFFF" w:usb1="E9FFFFFF" w:usb2="0000003F" w:usb3="00000000" w:csb0="603F01FF" w:csb1="FFFF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pPr>
    <w:r>
      <w:rPr>
        <w:rFonts w:ascii="Calibri" w:hAnsi="Calibri" w:eastAsia="宋体" w:cs="黑体"/>
        <w:kern w:val="2"/>
        <w:sz w:val="18"/>
        <w:szCs w:val="18"/>
        <w:lang w:val="en-US" w:eastAsia="zh-CN" w:bidi="ar-SA"/>
      </w:rPr>
      <w:pict>
        <v:rect id="文本框 27"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1"/>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pPr>
    <w:r>
      <w:rPr>
        <w:rFonts w:ascii="Calibri" w:hAnsi="Calibri" w:eastAsia="宋体" w:cs="黑体"/>
        <w:kern w:val="2"/>
        <w:sz w:val="18"/>
        <w:szCs w:val="18"/>
        <w:lang w:val="en-US" w:eastAsia="zh-CN" w:bidi="ar-SA"/>
      </w:rPr>
      <w:pict>
        <v:rect id="文本框 28" o:spid="_x0000_s1026" style="position:absolute;left:0;margin-top:0pt;height:144pt;width:144pt;mso-position-horizontal:outside;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1"/>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2</w:t>
                </w:r>
                <w:r>
                  <w:rPr>
                    <w:sz w:val="32"/>
                    <w:szCs w:val="32"/>
                  </w:rPr>
                  <w:fldChar w:fldCharType="end"/>
                </w:r>
                <w:r>
                  <w:rPr>
                    <w:sz w:val="32"/>
                    <w:szCs w:val="32"/>
                  </w:rPr>
                  <w:t xml:space="preserve"> —</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11"/>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0" w:name="footnote text"/>
    <w:lsdException w:qFormat="1" w:unhideWhenUsed="0" w:uiPriority="99"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nhideWhenUsed="0" w:uiPriority="99" w:name="annotation subject"/>
    <w:lsdException w:qFormat="1" w:unhideWhenUsed="0" w:uiPriority="99" w:name="Balloon Text"/>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5">
    <w:name w:val="heading 1"/>
    <w:basedOn w:val="1"/>
    <w:next w:val="1"/>
    <w:link w:val="24"/>
    <w:qFormat/>
    <w:uiPriority w:val="99"/>
    <w:pPr>
      <w:keepNext/>
      <w:keepLines/>
      <w:spacing w:before="340" w:after="330" w:line="578" w:lineRule="auto"/>
      <w:outlineLvl w:val="0"/>
    </w:pPr>
    <w:rPr>
      <w:rFonts w:cs="Calibri"/>
      <w:b/>
      <w:bCs/>
      <w:kern w:val="44"/>
      <w:sz w:val="44"/>
      <w:szCs w:val="44"/>
    </w:rPr>
  </w:style>
  <w:style w:type="character" w:default="1" w:styleId="14">
    <w:name w:val="Default Paragraph Font"/>
    <w:semiHidden/>
    <w:unhideWhenUsed/>
    <w:qFormat/>
    <w:uiPriority w:val="1"/>
  </w:style>
  <w:style w:type="paragraph" w:customStyle="1" w:styleId="2">
    <w:name w:val="BodyText1I2"/>
    <w:basedOn w:val="3"/>
    <w:next w:val="1"/>
    <w:qFormat/>
    <w:uiPriority w:val="0"/>
    <w:pPr>
      <w:spacing w:before="0" w:after="120"/>
      <w:ind w:left="420" w:leftChars="200" w:right="0" w:firstLine="420" w:firstLineChars="200"/>
      <w:jc w:val="both"/>
      <w:textAlignment w:val="baseline"/>
    </w:pPr>
    <w:rPr>
      <w:rFonts w:ascii="Times New Roman" w:hAnsi="Times New Roman" w:eastAsia="宋体"/>
      <w:kern w:val="2"/>
      <w:sz w:val="21"/>
      <w:szCs w:val="24"/>
      <w:lang w:val="en-US" w:eastAsia="zh-CN"/>
    </w:rPr>
  </w:style>
  <w:style w:type="paragraph" w:customStyle="1" w:styleId="3">
    <w:name w:val="BodyTextIndent"/>
    <w:basedOn w:val="1"/>
    <w:next w:val="4"/>
    <w:qFormat/>
    <w:uiPriority w:val="0"/>
    <w:pPr>
      <w:spacing w:after="120"/>
      <w:ind w:left="420" w:leftChars="200"/>
      <w:jc w:val="both"/>
      <w:textAlignment w:val="baseline"/>
    </w:pPr>
  </w:style>
  <w:style w:type="paragraph" w:customStyle="1" w:styleId="4">
    <w:name w:val="NormalIndent"/>
    <w:basedOn w:val="1"/>
    <w:qFormat/>
    <w:uiPriority w:val="0"/>
    <w:pPr>
      <w:widowControl/>
      <w:wordWrap/>
      <w:ind w:left="0" w:right="0" w:firstLine="420" w:firstLineChars="200"/>
      <w:jc w:val="both"/>
      <w:textAlignment w:val="auto"/>
    </w:pPr>
    <w:rPr>
      <w:rFonts w:ascii="Calibri" w:hAnsi="Calibri" w:eastAsia="仿宋"/>
      <w:kern w:val="2"/>
      <w:sz w:val="32"/>
      <w:szCs w:val="32"/>
      <w:lang w:val="en-US" w:eastAsia="zh-CN" w:bidi="ar-SA"/>
    </w:rPr>
  </w:style>
  <w:style w:type="paragraph" w:styleId="6">
    <w:name w:val="annotation subject"/>
    <w:basedOn w:val="7"/>
    <w:next w:val="7"/>
    <w:link w:val="28"/>
    <w:semiHidden/>
    <w:qFormat/>
    <w:uiPriority w:val="99"/>
    <w:rPr>
      <w:b/>
      <w:bCs/>
    </w:rPr>
  </w:style>
  <w:style w:type="paragraph" w:styleId="7">
    <w:name w:val="annotation text"/>
    <w:basedOn w:val="1"/>
    <w:link w:val="26"/>
    <w:semiHidden/>
    <w:qFormat/>
    <w:uiPriority w:val="99"/>
    <w:pPr>
      <w:jc w:val="left"/>
    </w:pPr>
    <w:rPr>
      <w:rFonts w:ascii="Times New Roman" w:hAnsi="Times New Roman" w:eastAsia="仿宋" w:cs="Times New Roman"/>
      <w:sz w:val="32"/>
      <w:szCs w:val="32"/>
    </w:rPr>
  </w:style>
  <w:style w:type="paragraph" w:styleId="8">
    <w:name w:val="Normal Indent"/>
    <w:basedOn w:val="1"/>
    <w:semiHidden/>
    <w:unhideWhenUsed/>
    <w:qFormat/>
    <w:uiPriority w:val="0"/>
    <w:pPr>
      <w:ind w:firstLine="420" w:firstLineChars="200"/>
    </w:pPr>
    <w:rPr>
      <w:rFonts w:eastAsia="仿宋_GB2312" w:cs="Times New Roman"/>
      <w:sz w:val="32"/>
    </w:rPr>
  </w:style>
  <w:style w:type="paragraph" w:styleId="9">
    <w:name w:val="Body Text"/>
    <w:basedOn w:val="1"/>
    <w:link w:val="25"/>
    <w:qFormat/>
    <w:uiPriority w:val="99"/>
    <w:pPr>
      <w:spacing w:line="520" w:lineRule="exact"/>
      <w:jc w:val="center"/>
    </w:pPr>
    <w:rPr>
      <w:rFonts w:ascii="仿宋_GB2312" w:hAnsi="Times New Roman" w:eastAsia="仿宋_GB2312" w:cs="仿宋_GB2312"/>
      <w:sz w:val="28"/>
      <w:szCs w:val="28"/>
      <w:lang w:val="zh-CN"/>
    </w:rPr>
  </w:style>
  <w:style w:type="paragraph" w:styleId="10">
    <w:name w:val="Balloon Text"/>
    <w:basedOn w:val="1"/>
    <w:link w:val="27"/>
    <w:semiHidden/>
    <w:qFormat/>
    <w:uiPriority w:val="99"/>
    <w:rPr>
      <w:rFonts w:ascii="Times New Roman" w:hAnsi="Times New Roman" w:eastAsia="仿宋" w:cs="Times New Roman"/>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spacing w:before="100" w:beforeAutospacing="1" w:after="100" w:afterAutospacing="1"/>
      <w:jc w:val="left"/>
    </w:pPr>
    <w:rPr>
      <w:rFonts w:ascii="Times New Roman" w:hAnsi="Times New Roman" w:eastAsia="仿宋" w:cs="Times New Roman"/>
      <w:kern w:val="0"/>
      <w:sz w:val="24"/>
      <w:szCs w:val="24"/>
    </w:rPr>
  </w:style>
  <w:style w:type="character" w:styleId="15">
    <w:name w:val="Strong"/>
    <w:qFormat/>
    <w:uiPriority w:val="99"/>
    <w:rPr>
      <w:b/>
      <w:bCs/>
    </w:rPr>
  </w:style>
  <w:style w:type="character" w:styleId="16">
    <w:name w:val="page number"/>
    <w:qFormat/>
    <w:uiPriority w:val="99"/>
    <w:rPr>
      <w:rFonts w:cs="Times New Roman"/>
    </w:rPr>
  </w:style>
  <w:style w:type="character" w:styleId="17">
    <w:name w:val="Hyperlink"/>
    <w:qFormat/>
    <w:uiPriority w:val="99"/>
    <w:rPr>
      <w:color w:val="0000FF"/>
      <w:u w:val="single"/>
    </w:rPr>
  </w:style>
  <w:style w:type="character" w:styleId="18">
    <w:name w:val="annotation reference"/>
    <w:semiHidden/>
    <w:qFormat/>
    <w:uiPriority w:val="99"/>
    <w:rPr>
      <w:sz w:val="21"/>
      <w:szCs w:val="21"/>
    </w:rPr>
  </w:style>
  <w:style w:type="paragraph" w:customStyle="1" w:styleId="19">
    <w:name w:val="列出段落1"/>
    <w:basedOn w:val="1"/>
    <w:qFormat/>
    <w:uiPriority w:val="99"/>
    <w:pPr>
      <w:ind w:firstLine="420" w:firstLineChars="200"/>
    </w:pPr>
    <w:rPr>
      <w:rFonts w:cs="Calibri"/>
      <w:szCs w:val="21"/>
    </w:rPr>
  </w:style>
  <w:style w:type="paragraph" w:customStyle="1" w:styleId="20">
    <w:name w:val="修订1"/>
    <w:hidden/>
    <w:semiHidden/>
    <w:qFormat/>
    <w:uiPriority w:val="99"/>
    <w:rPr>
      <w:rFonts w:ascii="Times New Roman" w:hAnsi="Times New Roman" w:eastAsia="仿宋" w:cs="Times New Roman"/>
      <w:sz w:val="32"/>
      <w:szCs w:val="32"/>
      <w:lang w:val="en-US" w:eastAsia="zh-CN" w:bidi="ar-SA"/>
    </w:rPr>
  </w:style>
  <w:style w:type="paragraph" w:customStyle="1" w:styleId="21">
    <w:name w:val="Body text|1"/>
    <w:basedOn w:val="1"/>
    <w:qFormat/>
    <w:uiPriority w:val="99"/>
    <w:pPr>
      <w:spacing w:line="396" w:lineRule="auto"/>
      <w:ind w:firstLine="400"/>
    </w:pPr>
    <w:rPr>
      <w:rFonts w:ascii="Times New Roman" w:hAnsi="Times New Roman" w:eastAsia="仿宋" w:cs="Times New Roman"/>
      <w:color w:val="232324"/>
      <w:sz w:val="32"/>
      <w:szCs w:val="32"/>
      <w:lang w:val="zh-TW" w:eastAsia="zh-TW"/>
    </w:rPr>
  </w:style>
  <w:style w:type="character" w:customStyle="1" w:styleId="22">
    <w:name w:val="页眉 Char"/>
    <w:link w:val="12"/>
    <w:qFormat/>
    <w:uiPriority w:val="99"/>
    <w:rPr>
      <w:sz w:val="18"/>
      <w:szCs w:val="18"/>
    </w:rPr>
  </w:style>
  <w:style w:type="character" w:customStyle="1" w:styleId="23">
    <w:name w:val="页脚 Char"/>
    <w:link w:val="11"/>
    <w:qFormat/>
    <w:uiPriority w:val="99"/>
    <w:rPr>
      <w:sz w:val="18"/>
      <w:szCs w:val="18"/>
    </w:rPr>
  </w:style>
  <w:style w:type="character" w:customStyle="1" w:styleId="24">
    <w:name w:val="标题 1 Char"/>
    <w:link w:val="5"/>
    <w:qFormat/>
    <w:uiPriority w:val="99"/>
    <w:rPr>
      <w:rFonts w:ascii="Calibri" w:hAnsi="Calibri" w:eastAsia="宋体" w:cs="Calibri"/>
      <w:b/>
      <w:bCs/>
      <w:kern w:val="44"/>
      <w:sz w:val="44"/>
      <w:szCs w:val="44"/>
    </w:rPr>
  </w:style>
  <w:style w:type="character" w:customStyle="1" w:styleId="25">
    <w:name w:val="正文文本 Char"/>
    <w:link w:val="9"/>
    <w:qFormat/>
    <w:uiPriority w:val="99"/>
    <w:rPr>
      <w:rFonts w:ascii="仿宋_GB2312" w:hAnsi="Times New Roman" w:eastAsia="仿宋_GB2312" w:cs="仿宋_GB2312"/>
      <w:sz w:val="28"/>
      <w:szCs w:val="28"/>
      <w:lang w:val="zh-CN"/>
    </w:rPr>
  </w:style>
  <w:style w:type="character" w:customStyle="1" w:styleId="26">
    <w:name w:val="批注文字 Char"/>
    <w:link w:val="7"/>
    <w:semiHidden/>
    <w:qFormat/>
    <w:uiPriority w:val="99"/>
    <w:rPr>
      <w:rFonts w:ascii="Times New Roman" w:hAnsi="Times New Roman" w:eastAsia="仿宋" w:cs="Times New Roman"/>
      <w:sz w:val="32"/>
      <w:szCs w:val="32"/>
    </w:rPr>
  </w:style>
  <w:style w:type="character" w:customStyle="1" w:styleId="27">
    <w:name w:val="批注框文本 Char"/>
    <w:link w:val="10"/>
    <w:semiHidden/>
    <w:qFormat/>
    <w:uiPriority w:val="99"/>
    <w:rPr>
      <w:rFonts w:ascii="Times New Roman" w:hAnsi="Times New Roman" w:eastAsia="仿宋" w:cs="Times New Roman"/>
      <w:sz w:val="18"/>
      <w:szCs w:val="18"/>
    </w:rPr>
  </w:style>
  <w:style w:type="character" w:customStyle="1" w:styleId="28">
    <w:name w:val="批注主题 Char"/>
    <w:link w:val="6"/>
    <w:semiHidden/>
    <w:qFormat/>
    <w:uiPriority w:val="99"/>
    <w:rPr>
      <w:rFonts w:ascii="Times New Roman" w:hAnsi="Times New Roman" w:eastAsia="仿宋" w:cs="Times New Roman"/>
      <w:b/>
      <w:bCs/>
      <w:sz w:val="32"/>
      <w:szCs w:val="32"/>
    </w:rPr>
  </w:style>
  <w:style w:type="character" w:customStyle="1" w:styleId="29">
    <w:name w:val="font31"/>
    <w:qFormat/>
    <w:uiPriority w:val="99"/>
    <w:rPr>
      <w:rFonts w:ascii="仿宋_GB2312" w:eastAsia="仿宋_GB2312" w:cs="仿宋_GB2312"/>
      <w:color w:val="333333"/>
      <w:sz w:val="24"/>
      <w:szCs w:val="24"/>
      <w:u w:val="none"/>
    </w:rPr>
  </w:style>
  <w:style w:type="character" w:customStyle="1" w:styleId="30">
    <w:name w:val="font11"/>
    <w:qFormat/>
    <w:uiPriority w:val="99"/>
    <w:rPr>
      <w:rFonts w:ascii="Times New Roman" w:hAnsi="Times New Roman" w:cs="Times New Roman"/>
      <w:color w:val="333333"/>
      <w:sz w:val="24"/>
      <w:szCs w:val="24"/>
      <w:u w:val="none"/>
    </w:rPr>
  </w:style>
  <w:style w:type="character" w:customStyle="1" w:styleId="31">
    <w:name w:val="NormalCharacter"/>
    <w:semiHidden/>
    <w:qFormat/>
    <w:uiPriority w:val="0"/>
    <w:rPr>
      <w:rFonts w:eastAsia="仿宋_GB2312"/>
      <w:kern w:val="2"/>
      <w:sz w:val="32"/>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15559</Words>
  <Characters>16011</Characters>
  <Lines>125</Lines>
  <Paragraphs>35</Paragraphs>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2021-08-30T07:54:00Z</dcterms:created>
  <dc:creator>未定义</dc:creator>
  <cp:lastModifiedBy>AA</cp:lastModifiedBy>
  <cp:lastPrinted>2022-05-24T07:47:00Z</cp:lastPrinted>
  <dcterms:modified xsi:type="dcterms:W3CDTF">2022-06-14T01:27:49Z</dcterms:modified>
  <dc:title>关于印发吉林省健康企业建设活动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y fmtid="{D5CDD505-2E9C-101B-9397-08002B2CF9AE}" pid="3" name="ICV">
    <vt:lpwstr>E0EAA374B5CC4779B6E77DCF4D2CF71B</vt:lpwstr>
  </property>
</Properties>
</file>