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640" w:lineRule="exact"/>
        <w:jc w:val="center"/>
        <w:textAlignment w:val="auto"/>
        <w:rPr>
          <w:rFonts w:hint="default" w:ascii="方正小标宋简体" w:hAnsi="方正小标宋简体" w:eastAsia="方正小标宋简体" w:cs="方正小标宋简体"/>
          <w:b w:val="0"/>
          <w:bCs/>
          <w:spacing w:val="-4"/>
          <w:sz w:val="44"/>
          <w:szCs w:val="44"/>
          <w:lang w:val="en-US" w:eastAsia="zh-CN"/>
        </w:rPr>
      </w:pPr>
      <w:r>
        <w:rPr>
          <w:rFonts w:hint="eastAsia" w:ascii="方正小标宋简体" w:hAnsi="方正小标宋简体" w:eastAsia="方正小标宋简体" w:cs="方正小标宋简体"/>
          <w:b w:val="0"/>
          <w:bCs/>
          <w:spacing w:val="-4"/>
          <w:sz w:val="44"/>
          <w:szCs w:val="44"/>
          <w:lang w:val="en-US" w:eastAsia="zh-CN"/>
        </w:rPr>
        <w:t>关于《关于印发&lt;关于按病种分值付费（DIP）补充事项的通知&gt;的通知》的起草说明</w:t>
      </w:r>
    </w:p>
    <w:p>
      <w:pPr>
        <w:keepNext w:val="0"/>
        <w:keepLines w:val="0"/>
        <w:pageBreakBefore w:val="0"/>
        <w:widowControl w:val="0"/>
        <w:kinsoku/>
        <w:wordWrap/>
        <w:overflowPunct/>
        <w:topLinePunct w:val="0"/>
        <w:autoSpaceDE w:val="0"/>
        <w:autoSpaceDN/>
        <w:bidi w:val="0"/>
        <w:adjustRightInd/>
        <w:snapToGrid/>
        <w:spacing w:line="640" w:lineRule="exact"/>
        <w:ind w:firstLine="632"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line="64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w:t>
      </w:r>
      <w:r>
        <w:rPr>
          <w:rFonts w:hint="eastAsia" w:ascii="仿宋" w:hAnsi="仿宋" w:eastAsia="仿宋" w:cs="仿宋"/>
          <w:b w:val="0"/>
          <w:bCs/>
          <w:spacing w:val="-4"/>
          <w:sz w:val="32"/>
          <w:szCs w:val="32"/>
          <w:lang w:val="en-US" w:eastAsia="zh-CN"/>
        </w:rPr>
        <w:t>《关于印发&lt;关于按病种分值付费（DIP）补充事项的通知&gt;的通知》的起草情况说明</w:t>
      </w:r>
      <w:r>
        <w:rPr>
          <w:rFonts w:hint="eastAsia" w:ascii="仿宋" w:hAnsi="仿宋" w:eastAsia="仿宋" w:cs="仿宋"/>
          <w:sz w:val="32"/>
          <w:szCs w:val="32"/>
          <w:lang w:val="en-US" w:eastAsia="zh-CN"/>
        </w:rPr>
        <w:t>如下。</w:t>
      </w:r>
    </w:p>
    <w:p>
      <w:pPr>
        <w:pStyle w:val="2"/>
        <w:keepNext w:val="0"/>
        <w:keepLines w:val="0"/>
        <w:pageBreakBefore w:val="0"/>
        <w:widowControl w:val="0"/>
        <w:numPr>
          <w:ilvl w:val="0"/>
          <w:numId w:val="0"/>
        </w:numPr>
        <w:kinsoku/>
        <w:wordWrap/>
        <w:overflowPunct/>
        <w:topLinePunct w:val="0"/>
        <w:bidi w:val="0"/>
        <w:spacing w:line="640" w:lineRule="exact"/>
        <w:ind w:left="789" w:leftChars="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一、文件起草背景</w:t>
      </w:r>
    </w:p>
    <w:p>
      <w:pPr>
        <w:pStyle w:val="2"/>
        <w:keepNext w:val="0"/>
        <w:keepLines w:val="0"/>
        <w:pageBreakBefore w:val="0"/>
        <w:widowControl w:val="0"/>
        <w:numPr>
          <w:ilvl w:val="0"/>
          <w:numId w:val="0"/>
        </w:numPr>
        <w:kinsoku/>
        <w:wordWrap/>
        <w:overflowPunct/>
        <w:topLinePunct w:val="0"/>
        <w:bidi w:val="0"/>
        <w:adjustRightInd w:val="0"/>
        <w:snapToGrid w:val="0"/>
        <w:spacing w:line="640" w:lineRule="exact"/>
        <w:ind w:firstLine="632"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lang w:val="en-US" w:eastAsia="zh-CN" w:bidi="ar"/>
        </w:rPr>
        <w:t>按病种分值付费（DIP）是医保支付方式改革的重要工作，前期我局根据全市医疗保障工作现状，按照试点先行、稳步推进的原则，先后出台了《郑州市基本医疗保险区域点数法总额预算和按病种分值付费结算办法（试行）》(郑医保办〔2021〕95号)、《郑州市按病种（DIP）分值付费业务经办规程（试行）》(郑医保办〔2021〕108号)、《郑州市医疗保障局关于按病种（DIP）分值付费实际付费有关事项的通知》(郑医保办〔2022〕1号)等文件，根据工作推进计划，目前我市已具备除中医专科医院外全面执行按病种分值付费条件，</w:t>
      </w:r>
      <w:bookmarkStart w:id="0" w:name="_GoBack"/>
      <w:bookmarkEnd w:id="0"/>
      <w:r>
        <w:rPr>
          <w:rFonts w:hint="eastAsia" w:ascii="仿宋" w:hAnsi="仿宋" w:eastAsia="仿宋" w:cs="仿宋"/>
          <w:color w:val="auto"/>
          <w:kern w:val="0"/>
          <w:sz w:val="32"/>
          <w:szCs w:val="32"/>
          <w:lang w:val="en-US" w:eastAsia="zh-CN" w:bidi="ar"/>
        </w:rPr>
        <w:t>经过详实的数据测算和反馈，对2022版DIP病种目录库、异常病历分值算法、特殊情况处理方式等一些问题做出明确，以确保按病种分值付费（DIP）改革顺利进行。</w:t>
      </w:r>
    </w:p>
    <w:p>
      <w:pPr>
        <w:keepNext w:val="0"/>
        <w:keepLines w:val="0"/>
        <w:pageBreakBefore w:val="0"/>
        <w:widowControl w:val="0"/>
        <w:numPr>
          <w:ilvl w:val="0"/>
          <w:numId w:val="0"/>
        </w:numPr>
        <w:kinsoku/>
        <w:wordWrap/>
        <w:overflowPunct/>
        <w:topLinePunct w:val="0"/>
        <w:autoSpaceDE w:val="0"/>
        <w:bidi w:val="0"/>
        <w:spacing w:line="6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lang w:val="en-US" w:eastAsia="zh-CN"/>
        </w:rPr>
        <w:t>二、</w:t>
      </w:r>
      <w:r>
        <w:rPr>
          <w:rFonts w:hint="eastAsia" w:ascii="黑体" w:hAnsi="黑体" w:eastAsia="黑体" w:cs="黑体"/>
          <w:sz w:val="32"/>
          <w:szCs w:val="32"/>
          <w:lang w:val="en-US" w:eastAsia="zh-CN"/>
        </w:rPr>
        <w:t>主要内容</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（一）启用2022版DIP病种目录库</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在原《郑州市DIP病种目录库（月预结算版）》和《郑州市DIP医疗机构等级系数（月预结算版）》基础上，制定了《郑州市DIP病种目录库（2022版）》、《郑州市DIP基层病种目录（2022版）》和《郑州市DIP医疗机构等级系数（2022版）》，2022年7月1日起开始执行。《郑州市DIP病种目录库（月预结算版）》和《郑州市DIP医疗机构等级系数（月预结算版）》停止使用。</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（二）调整费用异常病例分值算法</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医疗费用严重偏离DIP支付标准的病例，对其病种分值进行校准。偏差病例是指住院医疗总费用低于病种次均住院费用50%以下（含50%）或超过病种次均住院费用2倍以上4倍以下（含4倍）的病例，偏差病例以其总费用为基数，重新核定分值，其中：</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费用低于同病种次均住院费用50%（含50%）以下的病例分值=病种分值×（该病例总费用÷病种次均住院费用）。</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费用超过同病种次均住院费用2倍以上4倍以下（含4倍）的病例分值=病种分值×（该病例总费用÷病种次均住院费用–1）。</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（三）明确特殊情况处理方式</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针对联合手术和转科治疗两种特殊情况，明确了处理方式。一是对于</w:t>
      </w:r>
      <w:r>
        <w:rPr>
          <w:rFonts w:hint="eastAsia" w:ascii="仿宋" w:hAnsi="仿宋" w:eastAsia="仿宋" w:cs="仿宋"/>
          <w:color w:val="auto"/>
          <w:kern w:val="0"/>
          <w:sz w:val="32"/>
          <w:szCs w:val="32"/>
          <w:lang w:val="en-US" w:eastAsia="zh-CN" w:bidi="ar"/>
        </w:rPr>
        <w:t>病情复杂，同一住院过程需进行不同系统手术的参保人，医疗机构应根据参保人实际情况进行治疗，不得分解住院。对于实施联合手术的参保人，医保经办机构定期组织定点医疗机构进行申报，根据实施联合手术项目确定追加分值。二是对于转科处理的患者，要求</w:t>
      </w:r>
      <w:r>
        <w:rPr>
          <w:rFonts w:hint="eastAsia" w:ascii="仿宋" w:hAnsi="仿宋" w:eastAsia="仿宋" w:cs="仿宋"/>
          <w:color w:val="auto"/>
          <w:kern w:val="0"/>
          <w:sz w:val="32"/>
          <w:szCs w:val="32"/>
          <w:lang w:val="en-US" w:eastAsia="zh-CN" w:bidi="ar"/>
        </w:rPr>
        <w:t>医疗机构应根据参保人实际情况进行转科继续治疗，不得分解住院，同时将整个住院过程中住院时间最长、对健康危害最大，资源消耗最多诊断作为主诊断，按主诊断进行分组计算分值。</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（四）确定各种医疗类别支付方式</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对于</w:t>
      </w:r>
      <w:r>
        <w:rPr>
          <w:rFonts w:hint="eastAsia" w:ascii="仿宋" w:hAnsi="仿宋" w:eastAsia="仿宋" w:cs="仿宋"/>
          <w:color w:val="auto"/>
          <w:kern w:val="0"/>
          <w:sz w:val="32"/>
          <w:szCs w:val="32"/>
          <w:lang w:val="en-US" w:eastAsia="zh-CN" w:bidi="ar"/>
        </w:rPr>
        <w:t>河南省精神病医院、郑州市第八人民医院、郑州市精神病防治医院、郑州市嵩山医院（郑州市老年病护理医院）、郑州明州护理院、河南省老干部康复医院（河南省老年医院、河南省老干部疗养院）等精神、康复、护理类专科医疗机构，</w:t>
      </w:r>
      <w:r>
        <w:rPr>
          <w:rFonts w:hint="eastAsia" w:ascii="仿宋" w:hAnsi="仿宋" w:eastAsia="仿宋" w:cs="仿宋"/>
          <w:color w:val="auto"/>
          <w:kern w:val="0"/>
          <w:sz w:val="32"/>
          <w:szCs w:val="32"/>
          <w:lang w:val="en-US" w:eastAsia="zh-CN" w:bidi="ar"/>
        </w:rPr>
        <w:t>2022年度符合规定的住院医疗费用实行“项目付费、总额控制、超支分担”的付费方式。年度统筹费用发生额低于或等于控制总额的，统筹费用按项目付费据实结算；超过费用控制总额的，超出部分根据统筹基金收支情况和累计结余情况由双方按比例分担。新郑精卫精神病医院、登封博爱精神康复医院、中牟悦安精神病医院、荥阳阳光精神病医院因联网结算不足一年，实行项目付费。</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对于</w:t>
      </w:r>
      <w:r>
        <w:rPr>
          <w:rFonts w:hint="eastAsia" w:ascii="仿宋" w:hAnsi="仿宋" w:eastAsia="仿宋" w:cs="仿宋"/>
          <w:color w:val="auto"/>
          <w:kern w:val="0"/>
          <w:sz w:val="32"/>
          <w:szCs w:val="32"/>
          <w:lang w:val="en-US" w:eastAsia="zh-CN" w:bidi="ar"/>
        </w:rPr>
        <w:t>综合定点医疗机构中精神类、康复类、安宁疗护类参保人费用，根据不同病种分别确定每床/日费用标准，按床日费用进行结算。</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对于</w:t>
      </w:r>
      <w:r>
        <w:rPr>
          <w:rFonts w:hint="eastAsia" w:ascii="仿宋" w:hAnsi="仿宋" w:eastAsia="仿宋" w:cs="仿宋"/>
          <w:color w:val="auto"/>
          <w:kern w:val="0"/>
          <w:sz w:val="32"/>
          <w:szCs w:val="32"/>
          <w:lang w:val="en-US" w:eastAsia="zh-CN" w:bidi="ar"/>
        </w:rPr>
        <w:t>中医住院病种、优势病种分值目录库制定完成后，及时纳入按病种分值付费（DIP）实际付费范围。</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32" w:firstLineChars="200"/>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（五）规范按病种分值付费结算流程</w:t>
      </w:r>
    </w:p>
    <w:p>
      <w:pPr>
        <w:pStyle w:val="2"/>
        <w:ind w:firstLine="632" w:firstLineChars="200"/>
        <w:rPr>
          <w:rFonts w:hint="eastAsia" w:ascii="仿宋_GB2312" w:hAnsi="Times New Roman" w:eastAsia="仿宋_GB2312" w:cs="Times New Roman"/>
          <w:sz w:val="32"/>
          <w:szCs w:val="32"/>
          <w:lang w:val="en-US" w:eastAsia="zh-CN"/>
        </w:rPr>
      </w:pPr>
      <w:r>
        <w:rPr>
          <w:rFonts w:hint="eastAsia" w:ascii="仿宋" w:hAnsi="仿宋" w:eastAsia="仿宋" w:cs="仿宋"/>
          <w:color w:val="auto"/>
          <w:kern w:val="0"/>
          <w:sz w:val="32"/>
          <w:szCs w:val="32"/>
          <w:lang w:val="en-US" w:eastAsia="zh-CN" w:bidi="ar"/>
        </w:rPr>
        <w:t>为规范结算流程，保障结算工作正常开展，各定点医疗机构应严格按照经办规程明确的时间节点完成结算清单上传、对账和分组结果意见反馈等工作。对逾期未完成的医疗机构，按实际上传数据计算月度预结算金额，不再按实际产生数据预结算，差额部分待年度清算时再予结算。年度内医疗机构出现三次（含）以上未能按时完成按病种分值结算各项工作的，医保经办机构应及时对其进行约谈，限期进行整改，整改不到位的可暂停其《郑州市医疗保障定点医疗机构服务协议》。</w:t>
      </w:r>
    </w:p>
    <w:p>
      <w:pPr>
        <w:pStyle w:val="2"/>
        <w:rPr>
          <w:rFonts w:hint="default"/>
          <w:lang w:val="en-US" w:eastAsia="zh-CN"/>
        </w:rPr>
      </w:pPr>
      <w:r>
        <w:rPr>
          <w:rFonts w:hint="eastAsia" w:ascii="仿宋_GB2312"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bidi w:val="0"/>
        <w:spacing w:line="640" w:lineRule="exact"/>
        <w:ind w:firstLine="632" w:firstLineChars="200"/>
        <w:textAlignment w:val="auto"/>
        <w:rPr>
          <w:rFonts w:hint="eastAsia" w:eastAsia="华文中宋"/>
        </w:rPr>
      </w:pPr>
      <w:r>
        <w:rPr>
          <w:rFonts w:hint="eastAsia" w:ascii="仿宋_GB2312"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N/>
        <w:bidi w:val="0"/>
        <w:adjustRightInd w:val="0"/>
        <w:snapToGrid w:val="0"/>
        <w:spacing w:line="640" w:lineRule="exact"/>
        <w:jc w:val="center"/>
        <w:textAlignment w:val="auto"/>
        <w:rPr>
          <w:rFonts w:hint="eastAsia" w:eastAsia="华文中宋"/>
        </w:rPr>
      </w:pPr>
    </w:p>
    <w:p>
      <w:pPr>
        <w:keepNext w:val="0"/>
        <w:keepLines w:val="0"/>
        <w:pageBreakBefore w:val="0"/>
        <w:widowControl w:val="0"/>
        <w:kinsoku/>
        <w:wordWrap/>
        <w:overflowPunct/>
        <w:topLinePunct w:val="0"/>
        <w:bidi w:val="0"/>
        <w:spacing w:line="640" w:lineRule="exact"/>
        <w:jc w:val="both"/>
        <w:textAlignment w:val="auto"/>
        <w:rPr>
          <w:rFonts w:hint="eastAsia"/>
        </w:rPr>
      </w:pPr>
      <w:r>
        <w:rPr>
          <w:rFonts w:hint="eastAsia" w:eastAsia="华文中宋"/>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2004695</wp:posOffset>
                </wp:positionV>
                <wp:extent cx="1103630" cy="364490"/>
                <wp:effectExtent l="0" t="0" r="1270" b="16510"/>
                <wp:wrapNone/>
                <wp:docPr id="1" name="文本框 76"/>
                <wp:cNvGraphicFramePr/>
                <a:graphic xmlns:a="http://schemas.openxmlformats.org/drawingml/2006/main">
                  <a:graphicData uri="http://schemas.microsoft.com/office/word/2010/wordprocessingShape">
                    <wps:wsp>
                      <wps:cNvSpPr txBox="true"/>
                      <wps:spPr>
                        <a:xfrm>
                          <a:off x="0" y="0"/>
                          <a:ext cx="1103630" cy="364490"/>
                        </a:xfrm>
                        <a:prstGeom prst="rect">
                          <a:avLst/>
                        </a:prstGeom>
                        <a:solidFill>
                          <a:srgbClr val="FFFFFF"/>
                        </a:solidFill>
                        <a:ln>
                          <a:noFill/>
                        </a:ln>
                      </wps:spPr>
                      <wps:txbx>
                        <w:txbxContent>
                          <w:p/>
                        </w:txbxContent>
                      </wps:txbx>
                      <wps:bodyPr wrap="square" upright="true"/>
                    </wps:wsp>
                  </a:graphicData>
                </a:graphic>
              </wp:anchor>
            </w:drawing>
          </mc:Choice>
          <mc:Fallback>
            <w:pict>
              <v:shape id="文本框 76" o:spid="_x0000_s1026" o:spt="202" type="#_x0000_t202" style="position:absolute;left:0pt;margin-left:-4pt;margin-top:157.85pt;height:28.7pt;width:86.9pt;z-index:251659264;mso-width-relative:page;mso-height-relative:page;" fillcolor="#FFFFFF" filled="t" stroked="f" coordsize="21600,21600" o:gfxdata="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gqTzi2AAAAAoBAAAPAAAAAAAAAAEAIAAAADgAAABkcnMv&#10;ZG93bnJldi54bWxQSwECFAAUAAAACACHTuJAFs0wmrQBAAA+AwAADgAAAAAAAAABACAAAAA9AQAA&#10;ZHJzL2Uyb0RvYy54bWxQSwUGAAAAAAYABgBZAQAAYwUAAAAA&#10;">
                <v:fill on="t" focussize="0,0"/>
                <v:stroke on="f"/>
                <v:imagedata o:title=""/>
                <o:lock v:ext="edit" aspectratio="f"/>
                <v:textbox>
                  <w:txbxContent>
                    <w:p/>
                  </w:txbxContent>
                </v:textbox>
              </v:shape>
            </w:pict>
          </mc:Fallback>
        </mc:AlternateContent>
      </w:r>
    </w:p>
    <w:sectPr>
      <w:headerReference r:id="rId3" w:type="default"/>
      <w:footerReference r:id="rId4" w:type="default"/>
      <w:pgSz w:w="11906" w:h="16838"/>
      <w:pgMar w:top="2098" w:right="1474" w:bottom="1985" w:left="1587" w:header="851" w:footer="1587" w:gutter="0"/>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5</w:t>
    </w:r>
    <w:r>
      <w:rPr>
        <w:rFonts w:ascii="宋体" w:hAnsi="宋体"/>
        <w:sz w:val="28"/>
        <w:szCs w:val="28"/>
      </w:rPr>
      <w:fldChar w:fldCharType="end"/>
    </w:r>
    <w:r>
      <w:rPr>
        <w:rStyle w:val="15"/>
        <w:rFonts w:hint="eastAsia" w:ascii="宋体" w:hAnsi="宋体"/>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E1"/>
    <w:rsid w:val="00032746"/>
    <w:rsid w:val="00045BD9"/>
    <w:rsid w:val="000463A7"/>
    <w:rsid w:val="00071642"/>
    <w:rsid w:val="0009290D"/>
    <w:rsid w:val="000B08D9"/>
    <w:rsid w:val="000B61B0"/>
    <w:rsid w:val="000C6656"/>
    <w:rsid w:val="000F4740"/>
    <w:rsid w:val="000F6EC1"/>
    <w:rsid w:val="00111208"/>
    <w:rsid w:val="0013507B"/>
    <w:rsid w:val="00141D95"/>
    <w:rsid w:val="001474D8"/>
    <w:rsid w:val="001544E1"/>
    <w:rsid w:val="0016171F"/>
    <w:rsid w:val="00176B5D"/>
    <w:rsid w:val="0019719B"/>
    <w:rsid w:val="001A2117"/>
    <w:rsid w:val="001B0D6B"/>
    <w:rsid w:val="001B2605"/>
    <w:rsid w:val="001B353B"/>
    <w:rsid w:val="001D02B4"/>
    <w:rsid w:val="001E07DA"/>
    <w:rsid w:val="002116F7"/>
    <w:rsid w:val="0021608F"/>
    <w:rsid w:val="002219A0"/>
    <w:rsid w:val="002250F9"/>
    <w:rsid w:val="0022597D"/>
    <w:rsid w:val="00243CCD"/>
    <w:rsid w:val="00244E21"/>
    <w:rsid w:val="002509F0"/>
    <w:rsid w:val="00251D14"/>
    <w:rsid w:val="0026050A"/>
    <w:rsid w:val="00281B1B"/>
    <w:rsid w:val="00286B20"/>
    <w:rsid w:val="00290421"/>
    <w:rsid w:val="002B751E"/>
    <w:rsid w:val="002D2881"/>
    <w:rsid w:val="002D6E2F"/>
    <w:rsid w:val="002F712A"/>
    <w:rsid w:val="003375C6"/>
    <w:rsid w:val="003623E9"/>
    <w:rsid w:val="00372C70"/>
    <w:rsid w:val="003A15C6"/>
    <w:rsid w:val="003C58A2"/>
    <w:rsid w:val="003D20E0"/>
    <w:rsid w:val="003E739B"/>
    <w:rsid w:val="004076CE"/>
    <w:rsid w:val="0043100E"/>
    <w:rsid w:val="004447D1"/>
    <w:rsid w:val="00456C5D"/>
    <w:rsid w:val="004A74B7"/>
    <w:rsid w:val="004D7CA6"/>
    <w:rsid w:val="004E56F6"/>
    <w:rsid w:val="0050484F"/>
    <w:rsid w:val="0052721D"/>
    <w:rsid w:val="0053193B"/>
    <w:rsid w:val="00552CC1"/>
    <w:rsid w:val="005638E3"/>
    <w:rsid w:val="005768DD"/>
    <w:rsid w:val="00586CCC"/>
    <w:rsid w:val="005A1191"/>
    <w:rsid w:val="005E7C5F"/>
    <w:rsid w:val="005F59F2"/>
    <w:rsid w:val="00657575"/>
    <w:rsid w:val="00684743"/>
    <w:rsid w:val="006B28B3"/>
    <w:rsid w:val="006E1DE2"/>
    <w:rsid w:val="006E26DD"/>
    <w:rsid w:val="006E7EC8"/>
    <w:rsid w:val="00701B21"/>
    <w:rsid w:val="00727317"/>
    <w:rsid w:val="00751066"/>
    <w:rsid w:val="00777957"/>
    <w:rsid w:val="0078434A"/>
    <w:rsid w:val="00796219"/>
    <w:rsid w:val="007A4506"/>
    <w:rsid w:val="007B28DC"/>
    <w:rsid w:val="007D20E6"/>
    <w:rsid w:val="007D3EF2"/>
    <w:rsid w:val="007E0868"/>
    <w:rsid w:val="007F5EA9"/>
    <w:rsid w:val="00801F64"/>
    <w:rsid w:val="008069A1"/>
    <w:rsid w:val="00807351"/>
    <w:rsid w:val="0081673D"/>
    <w:rsid w:val="0085175F"/>
    <w:rsid w:val="008762CA"/>
    <w:rsid w:val="00880859"/>
    <w:rsid w:val="00887D41"/>
    <w:rsid w:val="008973D2"/>
    <w:rsid w:val="008A166A"/>
    <w:rsid w:val="008B63F7"/>
    <w:rsid w:val="008C0628"/>
    <w:rsid w:val="008D4AA7"/>
    <w:rsid w:val="008D5683"/>
    <w:rsid w:val="00907466"/>
    <w:rsid w:val="009118A3"/>
    <w:rsid w:val="009225E1"/>
    <w:rsid w:val="0093016E"/>
    <w:rsid w:val="009367A2"/>
    <w:rsid w:val="009503C2"/>
    <w:rsid w:val="00953AAD"/>
    <w:rsid w:val="00965ACE"/>
    <w:rsid w:val="0096709D"/>
    <w:rsid w:val="00982806"/>
    <w:rsid w:val="00982854"/>
    <w:rsid w:val="00994E90"/>
    <w:rsid w:val="009B56F7"/>
    <w:rsid w:val="009C4DAF"/>
    <w:rsid w:val="009E477D"/>
    <w:rsid w:val="009E5FA4"/>
    <w:rsid w:val="009E701A"/>
    <w:rsid w:val="00A278AB"/>
    <w:rsid w:val="00A351F0"/>
    <w:rsid w:val="00A4026E"/>
    <w:rsid w:val="00A51AFB"/>
    <w:rsid w:val="00A67A4A"/>
    <w:rsid w:val="00A80E4C"/>
    <w:rsid w:val="00A90E61"/>
    <w:rsid w:val="00AB0F2E"/>
    <w:rsid w:val="00AD7B61"/>
    <w:rsid w:val="00AE1011"/>
    <w:rsid w:val="00B00301"/>
    <w:rsid w:val="00B04C3E"/>
    <w:rsid w:val="00B05FE4"/>
    <w:rsid w:val="00B12EB0"/>
    <w:rsid w:val="00B155D5"/>
    <w:rsid w:val="00B17736"/>
    <w:rsid w:val="00B2391E"/>
    <w:rsid w:val="00B450B3"/>
    <w:rsid w:val="00B54D60"/>
    <w:rsid w:val="00B622CF"/>
    <w:rsid w:val="00B671D4"/>
    <w:rsid w:val="00B84F54"/>
    <w:rsid w:val="00B94366"/>
    <w:rsid w:val="00BA39B8"/>
    <w:rsid w:val="00BC6ABB"/>
    <w:rsid w:val="00C14B3D"/>
    <w:rsid w:val="00C43CD8"/>
    <w:rsid w:val="00C57609"/>
    <w:rsid w:val="00C66002"/>
    <w:rsid w:val="00C725EC"/>
    <w:rsid w:val="00C818A0"/>
    <w:rsid w:val="00C85DB2"/>
    <w:rsid w:val="00CA7F87"/>
    <w:rsid w:val="00CB1F78"/>
    <w:rsid w:val="00CE56DD"/>
    <w:rsid w:val="00D276F2"/>
    <w:rsid w:val="00D35098"/>
    <w:rsid w:val="00D36542"/>
    <w:rsid w:val="00D649C6"/>
    <w:rsid w:val="00D77320"/>
    <w:rsid w:val="00DD0C9F"/>
    <w:rsid w:val="00DD6478"/>
    <w:rsid w:val="00DF704A"/>
    <w:rsid w:val="00E119EC"/>
    <w:rsid w:val="00E20E81"/>
    <w:rsid w:val="00E253D5"/>
    <w:rsid w:val="00E2670D"/>
    <w:rsid w:val="00E367D2"/>
    <w:rsid w:val="00E52020"/>
    <w:rsid w:val="00E572A3"/>
    <w:rsid w:val="00E6211D"/>
    <w:rsid w:val="00E94208"/>
    <w:rsid w:val="00EB2AF1"/>
    <w:rsid w:val="00EB75D6"/>
    <w:rsid w:val="00EC42D7"/>
    <w:rsid w:val="00EC55E1"/>
    <w:rsid w:val="00F37E22"/>
    <w:rsid w:val="00F421A9"/>
    <w:rsid w:val="00F463C7"/>
    <w:rsid w:val="00F852AD"/>
    <w:rsid w:val="00FB0D70"/>
    <w:rsid w:val="00FB7F3F"/>
    <w:rsid w:val="00FC2EEA"/>
    <w:rsid w:val="01A9116E"/>
    <w:rsid w:val="0B21219F"/>
    <w:rsid w:val="0F7FD1C3"/>
    <w:rsid w:val="17FF73D1"/>
    <w:rsid w:val="18815E74"/>
    <w:rsid w:val="193E22A3"/>
    <w:rsid w:val="1EFF83C9"/>
    <w:rsid w:val="213E38CF"/>
    <w:rsid w:val="2A4F3A44"/>
    <w:rsid w:val="2B87625B"/>
    <w:rsid w:val="33142D26"/>
    <w:rsid w:val="373B5B70"/>
    <w:rsid w:val="3C073CC1"/>
    <w:rsid w:val="4DF7E132"/>
    <w:rsid w:val="56D221DB"/>
    <w:rsid w:val="5B8D0B43"/>
    <w:rsid w:val="5E2865FC"/>
    <w:rsid w:val="66A647A5"/>
    <w:rsid w:val="6760046B"/>
    <w:rsid w:val="6D7F55DC"/>
    <w:rsid w:val="6DFFEBF5"/>
    <w:rsid w:val="6E671D6B"/>
    <w:rsid w:val="6F0B2A77"/>
    <w:rsid w:val="6FF9DB83"/>
    <w:rsid w:val="6FFEF0F4"/>
    <w:rsid w:val="729FE1F8"/>
    <w:rsid w:val="793562C7"/>
    <w:rsid w:val="7B7FC91A"/>
    <w:rsid w:val="7BC7C9FC"/>
    <w:rsid w:val="7E0DE83E"/>
    <w:rsid w:val="7F0F57EE"/>
    <w:rsid w:val="7FD3B547"/>
    <w:rsid w:val="7FDFD271"/>
    <w:rsid w:val="A8FBFEEE"/>
    <w:rsid w:val="ACBD9FE1"/>
    <w:rsid w:val="BA73F078"/>
    <w:rsid w:val="BDB53C59"/>
    <w:rsid w:val="BF1F2DE0"/>
    <w:rsid w:val="BF887AFB"/>
    <w:rsid w:val="BFE6E322"/>
    <w:rsid w:val="BFFFCD0C"/>
    <w:rsid w:val="C7EF9EEB"/>
    <w:rsid w:val="D3F1E4D4"/>
    <w:rsid w:val="D7FFD52C"/>
    <w:rsid w:val="D8E79B6E"/>
    <w:rsid w:val="DDEFB12B"/>
    <w:rsid w:val="DDFE2455"/>
    <w:rsid w:val="DE57A2F5"/>
    <w:rsid w:val="DFEF2BB7"/>
    <w:rsid w:val="EFD77113"/>
    <w:rsid w:val="F77B9297"/>
    <w:rsid w:val="FF3F3002"/>
    <w:rsid w:val="FF6B7CB4"/>
    <w:rsid w:val="FFDF8E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First Indent"/>
    <w:basedOn w:val="1"/>
    <w:qFormat/>
    <w:uiPriority w:val="0"/>
    <w:pPr>
      <w:adjustRightInd w:val="0"/>
      <w:spacing w:line="560" w:lineRule="atLeast"/>
      <w:ind w:firstLine="624"/>
    </w:pPr>
    <w:rPr>
      <w:rFonts w:eastAsia="仿宋_GB2312"/>
      <w:sz w:val="3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Char"/>
    <w:basedOn w:val="1"/>
    <w:qFormat/>
    <w:uiPriority w:val="0"/>
    <w:pPr>
      <w:widowControl/>
      <w:spacing w:after="160" w:line="240" w:lineRule="exact"/>
      <w:jc w:val="left"/>
    </w:pPr>
    <w:rPr>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322</Words>
  <Characters>1838</Characters>
  <Lines>15</Lines>
  <Paragraphs>4</Paragraphs>
  <TotalTime>1</TotalTime>
  <ScaleCrop>false</ScaleCrop>
  <LinksUpToDate>false</LinksUpToDate>
  <CharactersWithSpaces>2156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2009-02-03T14:52:00Z</dcterms:created>
  <dc:creator>a</dc:creator>
  <cp:lastModifiedBy>greatwall</cp:lastModifiedBy>
  <cp:lastPrinted>2013-08-14T11:16:00Z</cp:lastPrinted>
  <dcterms:modified xsi:type="dcterms:W3CDTF">2022-06-10T17:58:52Z</dcterms:modified>
  <dc:title>关于开展清理整顿人力资源市场</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59D5490F44134F77866AAC8CA246C1D1</vt:lpwstr>
  </property>
</Properties>
</file>