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附件</w:t>
      </w:r>
    </w:p>
    <w:p>
      <w:pPr>
        <w:widowControl w:val="0"/>
        <w:pBdr>
          <w:bottom w:val="single" w:color="FFFFFF" w:sz="4" w:space="11"/>
        </w:pBdr>
        <w:overflowPunct w:val="0"/>
        <w:adjustRightInd w:val="0"/>
        <w:snapToGrid w:val="0"/>
        <w:spacing w:after="0" w:line="240" w:lineRule="auto"/>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内蒙古自治区新增门诊特殊用药</w:t>
      </w:r>
    </w:p>
    <w:bookmarkEnd w:id="0"/>
    <w:tbl>
      <w:tblPr>
        <w:tblStyle w:val="4"/>
        <w:tblW w:w="13969" w:type="dxa"/>
        <w:tblInd w:w="93" w:type="dxa"/>
        <w:tblLayout w:type="autofit"/>
        <w:tblCellMar>
          <w:top w:w="0" w:type="dxa"/>
          <w:left w:w="108" w:type="dxa"/>
          <w:bottom w:w="0" w:type="dxa"/>
          <w:right w:w="108" w:type="dxa"/>
        </w:tblCellMar>
      </w:tblPr>
      <w:tblGrid>
        <w:gridCol w:w="880"/>
        <w:gridCol w:w="2094"/>
        <w:gridCol w:w="8835"/>
        <w:gridCol w:w="2160"/>
      </w:tblGrid>
      <w:tr>
        <w:tblPrEx>
          <w:tblCellMar>
            <w:top w:w="0" w:type="dxa"/>
            <w:left w:w="108" w:type="dxa"/>
            <w:bottom w:w="0" w:type="dxa"/>
            <w:right w:w="108" w:type="dxa"/>
          </w:tblCellMar>
        </w:tblPrEx>
        <w:trPr>
          <w:trHeight w:val="458"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ascii="宋体" w:hAnsi="宋体" w:cs="宋体"/>
                <w:b/>
                <w:bCs/>
                <w:lang w:eastAsia="zh-CN" w:bidi="ar-SA"/>
              </w:rPr>
            </w:pPr>
            <w:r>
              <w:rPr>
                <w:rFonts w:hint="eastAsia" w:ascii="宋体" w:hAnsi="宋体" w:cs="宋体"/>
                <w:b/>
                <w:bCs/>
                <w:lang w:eastAsia="zh-CN" w:bidi="ar-SA"/>
              </w:rPr>
              <w:t>编号</w:t>
            </w:r>
          </w:p>
        </w:tc>
        <w:tc>
          <w:tcPr>
            <w:tcW w:w="2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ascii="宋体" w:hAnsi="宋体" w:cs="宋体"/>
                <w:b/>
                <w:bCs/>
                <w:lang w:eastAsia="zh-CN" w:bidi="ar-SA"/>
              </w:rPr>
            </w:pPr>
            <w:r>
              <w:rPr>
                <w:rFonts w:hint="eastAsia" w:ascii="宋体" w:hAnsi="宋体" w:cs="宋体"/>
                <w:b/>
                <w:bCs/>
                <w:lang w:eastAsia="zh-CN" w:bidi="ar-SA"/>
              </w:rPr>
              <w:t>药品名称</w:t>
            </w:r>
          </w:p>
        </w:tc>
        <w:tc>
          <w:tcPr>
            <w:tcW w:w="8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ascii="宋体" w:hAnsi="宋体" w:cs="宋体"/>
                <w:b/>
                <w:bCs/>
                <w:lang w:eastAsia="zh-CN" w:bidi="ar-SA"/>
              </w:rPr>
            </w:pPr>
            <w:r>
              <w:rPr>
                <w:rFonts w:hint="eastAsia" w:ascii="宋体" w:hAnsi="宋体" w:cs="宋体"/>
                <w:b/>
                <w:bCs/>
                <w:lang w:eastAsia="zh-CN" w:bidi="ar-SA"/>
              </w:rPr>
              <w:t>备注</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ascii="宋体" w:hAnsi="宋体" w:cs="宋体"/>
                <w:b/>
                <w:bCs/>
                <w:lang w:eastAsia="zh-CN" w:bidi="ar-SA"/>
              </w:rPr>
            </w:pPr>
            <w:r>
              <w:rPr>
                <w:rFonts w:hint="eastAsia" w:ascii="宋体" w:hAnsi="宋体" w:cs="宋体"/>
                <w:b/>
                <w:bCs/>
                <w:lang w:eastAsia="zh-CN" w:bidi="ar-SA"/>
              </w:rPr>
              <w:t>协议有效期</w:t>
            </w:r>
          </w:p>
        </w:tc>
      </w:tr>
      <w:tr>
        <w:tblPrEx>
          <w:tblCellMar>
            <w:top w:w="0" w:type="dxa"/>
            <w:left w:w="108" w:type="dxa"/>
            <w:bottom w:w="0" w:type="dxa"/>
            <w:right w:w="108" w:type="dxa"/>
          </w:tblCellMar>
        </w:tblPrEx>
        <w:trPr>
          <w:trHeight w:val="570" w:hRule="atLeast"/>
        </w:trPr>
        <w:tc>
          <w:tcPr>
            <w:tcW w:w="8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default" w:ascii="宋体" w:hAnsi="宋体" w:cs="宋体"/>
                <w:lang w:val="en-US" w:eastAsia="zh-CN" w:bidi="ar-SA"/>
              </w:rPr>
            </w:pPr>
            <w:r>
              <w:rPr>
                <w:rFonts w:hint="eastAsia" w:ascii="宋体" w:hAnsi="宋体" w:cs="宋体"/>
                <w:lang w:val="en-US" w:eastAsia="zh-CN" w:bidi="ar-SA"/>
              </w:rPr>
              <w:t>1</w:t>
            </w:r>
          </w:p>
        </w:tc>
        <w:tc>
          <w:tcPr>
            <w:tcW w:w="20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注射用重组人凝血因子Ⅶa</w:t>
            </w:r>
          </w:p>
        </w:tc>
        <w:tc>
          <w:tcPr>
            <w:tcW w:w="88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cs="宋体"/>
                <w:lang w:eastAsia="zh-CN" w:bidi="ar-SA"/>
              </w:rPr>
            </w:pPr>
            <w:r>
              <w:rPr>
                <w:rFonts w:hint="eastAsia" w:ascii="宋体" w:hAnsi="宋体" w:cs="宋体"/>
                <w:lang w:eastAsia="zh-CN" w:bidi="ar-SA"/>
              </w:rPr>
              <w:t>用于下列患者群体出血的治疗，以及外科手术或有创操作出血的防治：</w:t>
            </w:r>
          </w:p>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1.凝血因子VIII或IX的抑制物&gt;5个Bethesda单位（BU）的先天性血友病患者；预计对注射凝血因子VIII或凝血因子IX，具有高记忆应答的先天性血友病患者；2.获得性血友病患者；3.先天性凝血因子VII（FVII）缺乏症患者；4.具有血小板膜糖蛋白IIb－IIIa（GPIIb－IIIa）和/或人白细胞抗原（HLA）抗体和既往或现在对血小板输注无效或不佳的血小板无力症患者。</w:t>
            </w:r>
          </w:p>
        </w:tc>
        <w:tc>
          <w:tcPr>
            <w:tcW w:w="2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2022年1月1日至2023年12月31日</w:t>
            </w:r>
          </w:p>
        </w:tc>
      </w:tr>
      <w:tr>
        <w:tblPrEx>
          <w:tblCellMar>
            <w:top w:w="0" w:type="dxa"/>
            <w:left w:w="108" w:type="dxa"/>
            <w:bottom w:w="0" w:type="dxa"/>
            <w:right w:w="108" w:type="dxa"/>
          </w:tblCellMar>
        </w:tblPrEx>
        <w:trPr>
          <w:trHeight w:val="501" w:hRule="atLeast"/>
        </w:trPr>
        <w:tc>
          <w:tcPr>
            <w:tcW w:w="8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default" w:ascii="宋体" w:hAnsi="宋体" w:cs="宋体"/>
                <w:lang w:val="en-US" w:eastAsia="zh-CN" w:bidi="ar-SA"/>
              </w:rPr>
            </w:pPr>
            <w:r>
              <w:rPr>
                <w:rFonts w:hint="eastAsia" w:ascii="宋体" w:hAnsi="宋体" w:cs="宋体"/>
                <w:lang w:val="en-US" w:eastAsia="zh-CN" w:bidi="ar-SA"/>
              </w:rPr>
              <w:t>2</w:t>
            </w:r>
          </w:p>
        </w:tc>
        <w:tc>
          <w:tcPr>
            <w:tcW w:w="20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人凝血因子Ⅸ</w:t>
            </w:r>
          </w:p>
        </w:tc>
        <w:tc>
          <w:tcPr>
            <w:tcW w:w="88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用于凝血因子Ⅸ缺乏症（B型血友病）患者的出血治疗。</w:t>
            </w:r>
          </w:p>
        </w:tc>
        <w:tc>
          <w:tcPr>
            <w:tcW w:w="2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2022年1月1日至2023年12月31日</w:t>
            </w:r>
          </w:p>
        </w:tc>
      </w:tr>
      <w:tr>
        <w:tblPrEx>
          <w:tblCellMar>
            <w:top w:w="0" w:type="dxa"/>
            <w:left w:w="108" w:type="dxa"/>
            <w:bottom w:w="0" w:type="dxa"/>
            <w:right w:w="108" w:type="dxa"/>
          </w:tblCellMar>
        </w:tblPrEx>
        <w:trPr>
          <w:trHeight w:val="297" w:hRule="atLeast"/>
        </w:trPr>
        <w:tc>
          <w:tcPr>
            <w:tcW w:w="8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default" w:ascii="宋体" w:hAnsi="宋体" w:cs="宋体"/>
                <w:lang w:val="en-US" w:eastAsia="zh-CN" w:bidi="ar-SA"/>
              </w:rPr>
            </w:pPr>
            <w:r>
              <w:rPr>
                <w:rFonts w:hint="eastAsia" w:ascii="宋体" w:hAnsi="宋体" w:cs="宋体"/>
                <w:lang w:val="en-US" w:eastAsia="zh-CN" w:bidi="ar-SA"/>
              </w:rPr>
              <w:t>3</w:t>
            </w:r>
          </w:p>
        </w:tc>
        <w:tc>
          <w:tcPr>
            <w:tcW w:w="20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注射用贝利尤单抗</w:t>
            </w:r>
          </w:p>
        </w:tc>
        <w:tc>
          <w:tcPr>
            <w:tcW w:w="88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本品与常规治疗联合，适用于在常规治疗基础上仍具有高疾病活动（例如：抗dsDNA抗体阳性及低补体、SELENA-SLEDAI评分≥8）的活动性、自身抗体阳性的系统性红斑狼疮（SLE）5岁及以上患者。</w:t>
            </w:r>
          </w:p>
        </w:tc>
        <w:tc>
          <w:tcPr>
            <w:tcW w:w="2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2022年1月1日至2023年12月31日</w:t>
            </w:r>
          </w:p>
        </w:tc>
      </w:tr>
      <w:tr>
        <w:tblPrEx>
          <w:tblCellMar>
            <w:top w:w="0" w:type="dxa"/>
            <w:left w:w="108" w:type="dxa"/>
            <w:bottom w:w="0" w:type="dxa"/>
            <w:right w:w="108" w:type="dxa"/>
          </w:tblCellMar>
        </w:tblPrEx>
        <w:trPr>
          <w:trHeight w:val="570" w:hRule="atLeast"/>
        </w:trPr>
        <w:tc>
          <w:tcPr>
            <w:tcW w:w="8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default" w:ascii="宋体" w:hAnsi="宋体" w:cs="宋体"/>
                <w:lang w:val="en-US" w:eastAsia="zh-CN" w:bidi="ar-SA"/>
              </w:rPr>
            </w:pPr>
            <w:r>
              <w:rPr>
                <w:rFonts w:hint="eastAsia" w:ascii="宋体" w:hAnsi="宋体" w:cs="宋体"/>
                <w:lang w:val="en-US" w:eastAsia="zh-CN" w:bidi="ar-SA"/>
              </w:rPr>
              <w:t>4</w:t>
            </w:r>
          </w:p>
        </w:tc>
        <w:tc>
          <w:tcPr>
            <w:tcW w:w="20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注射用泰它西普</w:t>
            </w:r>
          </w:p>
        </w:tc>
        <w:tc>
          <w:tcPr>
            <w:tcW w:w="88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本品与常规治疗联合，适用于在常规治疗基础上仍具有高疾病活动（例如：抗ds-DNA抗体阳性及低补体、SELENA-SLEDAI评分≥8）的活动性、自身抗体阳性的系统性红斑狼疮（SLE）成年患者。该适应症是基于一项接受常规治疗仍具有高疾病活动的系统性红斑狼疮成年患者的II期临床试验结果给予的附条件批准。本适应症的完全获批将取决于确证性随机对照临床试验能否证实本品在该患者人群的临床获益。</w:t>
            </w:r>
          </w:p>
        </w:tc>
        <w:tc>
          <w:tcPr>
            <w:tcW w:w="2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rPr>
                <w:rFonts w:ascii="宋体" w:hAnsi="宋体" w:cs="宋体"/>
                <w:lang w:eastAsia="zh-CN" w:bidi="ar-SA"/>
              </w:rPr>
            </w:pPr>
            <w:r>
              <w:rPr>
                <w:rFonts w:hint="eastAsia" w:ascii="宋体" w:hAnsi="宋体" w:cs="宋体"/>
                <w:lang w:eastAsia="zh-CN" w:bidi="ar-SA"/>
              </w:rPr>
              <w:t>2022年1月1日至2023年12月31日</w:t>
            </w:r>
          </w:p>
        </w:tc>
      </w:tr>
    </w:tbl>
    <w:p/>
    <w:p>
      <w:pPr>
        <w:pStyle w:val="6"/>
        <w:bidi w:val="0"/>
        <w:ind w:left="0" w:leftChars="0" w:firstLine="640" w:firstLineChars="200"/>
        <w:rPr>
          <w:rFonts w:hint="eastAsia" w:ascii="仿宋_GB2312" w:hAnsi="仿宋_GB2312" w:eastAsia="仿宋_GB2312" w:cs="仿宋_GB2312"/>
          <w:sz w:val="32"/>
          <w:szCs w:val="32"/>
          <w:lang w:val="en-US" w:eastAsia="zh-CN"/>
        </w:rPr>
      </w:pPr>
    </w:p>
    <w:p/>
    <w:sectPr>
      <w:footerReference r:id="rId6" w:type="first"/>
      <w:footerReference r:id="rId4" w:type="default"/>
      <w:headerReference r:id="rId3" w:type="even"/>
      <w:footerReference r:id="rId5" w:type="even"/>
      <w:pgSz w:w="16838" w:h="11906" w:orient="landscape"/>
      <w:pgMar w:top="1587" w:right="2154" w:bottom="1587" w:left="1191" w:header="2154" w:footer="1191" w:gutter="0"/>
      <w:pgNumType w:fmt="numberInDash"/>
      <w:cols w:space="720" w:num="1"/>
      <w:titlePg/>
      <w:rtlGutter w:val="0"/>
      <w:docGrid w:type="lines" w:linePitch="6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altName w:val="宋体"/>
    <w:panose1 w:val="02010600000101010101"/>
    <w:charset w:val="86"/>
    <w:family w:val="auto"/>
    <w:pitch w:val="default"/>
    <w:sig w:usb0="00000000" w:usb1="00000000" w:usb2="00000002"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6.35pt;height:144pt;width:144pt;mso-position-horizontal:outside;mso-position-horizontal-relative:margin;mso-wrap-style:none;z-index:251659264;mso-width-relative:page;mso-height-relative:page;" filled="f" stroked="f" coordsize="21600,21600" o:gfxdata="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kYUfXSAAAABwEAAA8AAAAAAAAAAQAgAAAAIgAAAGRycy9kb3ducmV2&#10;LnhtbFBLAQIUABQAAAAIAIdO4kAEb5CgyQEAAJkDAAAOAAAAAAAAAAEAIAAAACEBAABkcnMvZTJv&#10;RG9jLnhtbFBLBQYAAAAABgAGAFkBAABcBQAAAAA=&#10;">
              <v:path/>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6.35pt;height:144pt;width:144pt;mso-position-horizontal:outside;mso-position-horizontal-relative:margin;mso-wrap-style:none;z-index:251660288;mso-width-relative:page;mso-height-relative:page;" filled="f" stroked="f" coordsize="21600,21600" o:gfxdata="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RhR9dIAAAAH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6.35pt;height:144pt;width:144pt;mso-position-horizontal:outside;mso-position-horizontal-relative:margin;mso-wrap-style:none;z-index:251661312;mso-width-relative:page;mso-height-relative:page;" filled="f" stroked="f" coordsize="21600,21600" o:gfxdata="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5GFH10gAAAAc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270E717B"/>
    <w:rsid w:val="270E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套红"/>
    <w:basedOn w:val="1"/>
    <w:qFormat/>
    <w:uiPriority w:val="0"/>
    <w:pPr>
      <w:ind w:firstLine="842" w:firstLineChars="200"/>
    </w:pPr>
    <w:rPr>
      <w:rFonts w:eastAsia="汉仪中宋简"/>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凌动</Company>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2022-06-01T08:20:00Z</dcterms:created>
  <dc:creator>敏</dc:creator>
  <cp:lastModifiedBy>敏</cp:lastModifiedBy>
  <dcterms:modified xsi:type="dcterms:W3CDTF">2022-06-01T08:22:48Z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4983327AD5AA4219AA94029C05047BE1</vt:lpwstr>
  </property>
</Properties>
</file>