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附件1</w:t>
      </w:r>
    </w:p>
    <w:p>
      <w:pPr>
        <w:widowControl/>
        <w:spacing w:line="600" w:lineRule="exact"/>
        <w:ind w:firstLine="440" w:firstLineChars="100"/>
        <w:rPr>
          <w:rFonts w:hint="eastAsia" w:ascii="微软雅黑" w:hAnsi="微软雅黑" w:eastAsia="微软雅黑" w:cs="宋体"/>
          <w:b/>
          <w:bCs/>
          <w:color w:val="000000"/>
          <w:kern w:val="0"/>
          <w:sz w:val="44"/>
        </w:rPr>
      </w:pPr>
    </w:p>
    <w:p>
      <w:pPr>
        <w:widowControl/>
        <w:spacing w:line="360" w:lineRule="auto"/>
        <w:jc w:val="center"/>
        <w:rPr>
          <w:rFonts w:hint="eastAsia" w:ascii="仿宋" w:hAnsi="仿宋" w:eastAsia="仿宋" w:cs="宋体"/>
          <w:color w:val="000000"/>
          <w:kern w:val="0"/>
          <w:sz w:val="32"/>
          <w:szCs w:val="32"/>
        </w:rPr>
      </w:pPr>
      <w:r>
        <w:rPr>
          <w:rFonts w:hint="eastAsia" w:ascii="方正小标宋简体" w:hAnsi="方正小标宋简体" w:eastAsia="方正小标宋简体" w:cs="方正小标宋简体"/>
          <w:color w:val="000000"/>
          <w:kern w:val="0"/>
          <w:sz w:val="44"/>
        </w:rPr>
        <w:t>老年医学科建设与管理指南（试行）</w:t>
      </w:r>
      <w:r>
        <w:rPr>
          <w:rFonts w:hint="eastAsia" w:ascii="仿宋" w:hAnsi="仿宋" w:eastAsia="仿宋" w:cs="宋体"/>
          <w:color w:val="000000"/>
          <w:kern w:val="0"/>
          <w:sz w:val="32"/>
          <w:szCs w:val="32"/>
        </w:rPr>
        <w:t> </w:t>
      </w:r>
    </w:p>
    <w:p>
      <w:pPr>
        <w:widowControl/>
        <w:spacing w:line="360" w:lineRule="auto"/>
        <w:jc w:val="center"/>
        <w:rPr>
          <w:rFonts w:hint="eastAsia" w:ascii="黑体" w:hAnsi="黑体" w:eastAsia="黑体" w:cs="黑体"/>
          <w:color w:val="000000"/>
          <w:kern w:val="0"/>
          <w:sz w:val="32"/>
          <w:szCs w:val="32"/>
        </w:rPr>
      </w:pPr>
    </w:p>
    <w:p>
      <w:pPr>
        <w:widowControl/>
        <w:spacing w:line="360" w:lineRule="auto"/>
        <w:jc w:val="center"/>
        <w:rPr>
          <w:rFonts w:hint="eastAsia" w:ascii="仿宋" w:hAnsi="仿宋" w:eastAsia="仿宋" w:cs="宋体"/>
          <w:color w:val="000000"/>
          <w:kern w:val="0"/>
          <w:sz w:val="32"/>
          <w:szCs w:val="32"/>
        </w:rPr>
      </w:pPr>
      <w:r>
        <w:rPr>
          <w:rFonts w:hint="eastAsia" w:ascii="黑体" w:hAnsi="黑体" w:eastAsia="黑体" w:cs="黑体"/>
          <w:color w:val="000000"/>
          <w:kern w:val="0"/>
          <w:sz w:val="32"/>
          <w:szCs w:val="32"/>
        </w:rPr>
        <w:t>第一章 总则</w:t>
      </w:r>
    </w:p>
    <w:p>
      <w:pPr>
        <w:widowControl/>
        <w:spacing w:line="600" w:lineRule="exac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第一条 为指导规范老年医学科的建设与管理，推进老年医疗卫生服务体系建设，促进老年医学发展，保证医疗质量和医疗安全，根据《中华人民共和国执业医师法》《医疗机构管理条例》和《护士条例》等法律法规，制定本指南。</w:t>
      </w:r>
    </w:p>
    <w:p>
      <w:pPr>
        <w:widowControl/>
        <w:spacing w:line="600" w:lineRule="exac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第二条 综合医院老年医学科按照本指南进行建设与管理，专科医院及其他医疗机构设置老年医学科的参照本指南执行。</w:t>
      </w:r>
    </w:p>
    <w:p>
      <w:pPr>
        <w:widowControl/>
        <w:spacing w:line="600" w:lineRule="exac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第三条 设置老年医学科的综合医院应当取得相应的诊疗科目资质，科室名称为老年医学科。有条件的二级及以上综合性医院要开设老年医学科。</w:t>
      </w:r>
    </w:p>
    <w:p>
      <w:pPr>
        <w:widowControl/>
        <w:spacing w:line="600" w:lineRule="exac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第四条 老年医学科主要收治患老年综合征、共病以及其他急、慢性疾病的老年患者。</w:t>
      </w:r>
    </w:p>
    <w:p>
      <w:pPr>
        <w:widowControl/>
        <w:spacing w:line="600" w:lineRule="exact"/>
        <w:ind w:firstLine="66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第五条 各级卫生健康行政部门应当加强对老年医学科的指导和监督，综合医院应当加强老年医学科的建设与管理，提高医疗服务质量，保障患者医疗安全。</w:t>
      </w:r>
    </w:p>
    <w:p>
      <w:pPr>
        <w:widowControl/>
        <w:spacing w:line="600" w:lineRule="exact"/>
        <w:ind w:firstLine="660"/>
        <w:rPr>
          <w:rFonts w:hint="eastAsia" w:ascii="仿宋" w:hAnsi="仿宋" w:eastAsia="仿宋" w:cs="宋体"/>
          <w:color w:val="000000"/>
          <w:kern w:val="0"/>
          <w:sz w:val="32"/>
          <w:szCs w:val="32"/>
        </w:rPr>
      </w:pPr>
    </w:p>
    <w:p>
      <w:pPr>
        <w:widowControl/>
        <w:spacing w:before="156" w:beforeLines="50" w:after="156" w:afterLines="50" w:line="480" w:lineRule="auto"/>
        <w:jc w:val="center"/>
        <w:rPr>
          <w:rFonts w:hint="eastAsia" w:ascii="仿宋" w:hAnsi="仿宋" w:eastAsia="仿宋" w:cs="宋体"/>
          <w:color w:val="000000"/>
          <w:kern w:val="0"/>
          <w:sz w:val="32"/>
          <w:szCs w:val="32"/>
        </w:rPr>
      </w:pPr>
      <w:r>
        <w:rPr>
          <w:rFonts w:hint="eastAsia" w:ascii="黑体" w:hAnsi="黑体" w:eastAsia="黑体" w:cs="黑体"/>
          <w:color w:val="000000"/>
          <w:kern w:val="0"/>
          <w:sz w:val="32"/>
          <w:szCs w:val="32"/>
        </w:rPr>
        <w:t>第二章 设置运行</w:t>
      </w:r>
      <w:r>
        <w:rPr>
          <w:rFonts w:hint="eastAsia" w:ascii="仿宋" w:hAnsi="仿宋" w:eastAsia="仿宋" w:cs="宋体"/>
          <w:color w:val="000000"/>
          <w:kern w:val="0"/>
          <w:sz w:val="32"/>
          <w:szCs w:val="32"/>
        </w:rPr>
        <w:t> </w:t>
      </w:r>
    </w:p>
    <w:p>
      <w:pPr>
        <w:widowControl/>
        <w:spacing w:line="600" w:lineRule="exact"/>
        <w:rPr>
          <w:rFonts w:hint="eastAsia" w:ascii="仿宋" w:hAnsi="仿宋" w:eastAsia="仿宋" w:cs="宋体"/>
          <w:bCs/>
          <w:color w:val="000000"/>
          <w:kern w:val="0"/>
          <w:sz w:val="32"/>
          <w:szCs w:val="32"/>
        </w:rPr>
      </w:pPr>
      <w:r>
        <w:rPr>
          <w:rFonts w:hint="eastAsia" w:ascii="仿宋" w:hAnsi="仿宋" w:eastAsia="仿宋" w:cs="宋体"/>
          <w:color w:val="000000"/>
          <w:kern w:val="0"/>
          <w:sz w:val="32"/>
          <w:szCs w:val="32"/>
        </w:rPr>
        <w:t>　　第六条 </w:t>
      </w:r>
      <w:r>
        <w:rPr>
          <w:rFonts w:hint="eastAsia" w:ascii="仿宋" w:hAnsi="仿宋" w:eastAsia="仿宋" w:cs="宋体"/>
          <w:bCs/>
          <w:color w:val="000000"/>
          <w:kern w:val="0"/>
          <w:sz w:val="32"/>
          <w:szCs w:val="32"/>
        </w:rPr>
        <w:t>老年医学科应当设置门诊诊室、病房、综合评估室。床位数应≥20张，每床净使用面积应≥7㎡，床间距宜≥1.0m，卫生间面积宜≥4㎡。病房设置标准符合国家规定。老年医学科门诊、病区及相关公用场所应当符合老年患者活动场所及坐卧设施安全要求，执行国家无障碍设计的相关标准。</w:t>
      </w:r>
    </w:p>
    <w:p>
      <w:pPr>
        <w:widowControl/>
        <w:spacing w:line="600" w:lineRule="exact"/>
        <w:rPr>
          <w:rFonts w:hint="eastAsia" w:ascii="仿宋" w:hAnsi="仿宋" w:eastAsia="仿宋" w:cs="宋体"/>
          <w:bCs/>
          <w:color w:val="000000"/>
          <w:kern w:val="0"/>
          <w:sz w:val="32"/>
          <w:szCs w:val="32"/>
        </w:rPr>
      </w:pPr>
      <w:r>
        <w:rPr>
          <w:rFonts w:hint="eastAsia" w:ascii="仿宋" w:hAnsi="仿宋" w:eastAsia="仿宋" w:cs="宋体"/>
          <w:color w:val="000000"/>
          <w:kern w:val="0"/>
          <w:sz w:val="32"/>
          <w:szCs w:val="32"/>
        </w:rPr>
        <w:t>　　第七条 设置老</w:t>
      </w:r>
      <w:r>
        <w:rPr>
          <w:rFonts w:hint="eastAsia" w:ascii="仿宋" w:hAnsi="仿宋" w:eastAsia="仿宋" w:cs="宋体"/>
          <w:bCs/>
          <w:color w:val="000000"/>
          <w:kern w:val="0"/>
          <w:sz w:val="32"/>
          <w:szCs w:val="32"/>
        </w:rPr>
        <w:t>年医学科的综合医院应当具备与老年医学科相关的科室设置，包括重症医学科、医学心理科（室）、营养科、麻醉科、外科、内科、妇科、肿瘤科、中医科、康复科（室）、药剂科、检验科、医学影像科、输血科（室）等。</w:t>
      </w:r>
    </w:p>
    <w:p>
      <w:pPr>
        <w:widowControl/>
        <w:spacing w:line="600" w:lineRule="exac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第八条 老年医学科应当具备的基本设备：轮椅、转运床（或医用平车）、站立及行走辅助器、坐式体重计；报警系统、供氧装置、负压吸引装置、输液泵、注射泵等。同时需具有抢救设备：气管插管设备、简易呼吸器；心电监护仪、心脏除颤仪等，以及其他与开展老年医学科诊疗业务相应的设备。鼓励有条件的医院设置辅助洗浴设备、电动护理床、自主转运装置等。</w:t>
      </w:r>
    </w:p>
    <w:p>
      <w:pPr>
        <w:widowControl/>
        <w:spacing w:line="600" w:lineRule="exac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第九条 老年医学科应当以老年患者为中心，采用老年综合评估常规模式、共病处理模式和多学科团队工作模式，对老年患者进行医疗救治，最大程度维持和恢复老年患者的功能状态。</w:t>
      </w:r>
    </w:p>
    <w:p>
      <w:pPr>
        <w:widowControl/>
        <w:spacing w:line="600" w:lineRule="exact"/>
        <w:rPr>
          <w:rFonts w:hint="eastAsia" w:ascii="仿宋" w:hAnsi="仿宋" w:eastAsia="仿宋" w:cs="宋体"/>
          <w:bCs/>
          <w:color w:val="000000"/>
          <w:kern w:val="0"/>
          <w:sz w:val="32"/>
          <w:szCs w:val="32"/>
        </w:rPr>
      </w:pPr>
      <w:r>
        <w:rPr>
          <w:rFonts w:hint="eastAsia" w:ascii="仿宋" w:hAnsi="仿宋" w:eastAsia="仿宋" w:cs="宋体"/>
          <w:color w:val="000000"/>
          <w:kern w:val="0"/>
          <w:sz w:val="32"/>
          <w:szCs w:val="32"/>
        </w:rPr>
        <w:t>　　第十条 </w:t>
      </w:r>
      <w:r>
        <w:rPr>
          <w:rFonts w:hint="eastAsia" w:ascii="仿宋" w:hAnsi="仿宋" w:eastAsia="仿宋" w:cs="宋体"/>
          <w:bCs/>
          <w:color w:val="000000"/>
          <w:kern w:val="0"/>
          <w:sz w:val="32"/>
          <w:szCs w:val="32"/>
        </w:rPr>
        <w:t>老年医学科应当通过医院与社区卫生中心、医养结合机构、护理院等中长期照护机构建立固定联系，可进行定期远程会诊、联网培训，并与基层双向转诊，实现老年患者的连续治疗及全程化连续照护。</w:t>
      </w:r>
    </w:p>
    <w:p>
      <w:pPr>
        <w:widowControl/>
        <w:spacing w:line="600" w:lineRule="exac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第十一条 老年医学科医师除本病房患者管理和门诊工作外，应当参与其他学科的老年医学工作，如高风险老年患者术前评估与围术期管理、会诊等。</w:t>
      </w:r>
    </w:p>
    <w:p>
      <w:pPr>
        <w:widowControl/>
        <w:spacing w:line="600" w:lineRule="exact"/>
        <w:ind w:firstLine="66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第十二条 床单元设施配置：按照相应级别综合医院标准执行。</w:t>
      </w:r>
    </w:p>
    <w:p>
      <w:pPr>
        <w:widowControl/>
        <w:spacing w:line="600" w:lineRule="exact"/>
        <w:ind w:firstLine="660"/>
        <w:rPr>
          <w:rFonts w:hint="eastAsia" w:ascii="仿宋" w:hAnsi="仿宋" w:eastAsia="仿宋" w:cs="宋体"/>
          <w:color w:val="000000"/>
          <w:kern w:val="0"/>
          <w:sz w:val="32"/>
          <w:szCs w:val="32"/>
        </w:rPr>
      </w:pPr>
    </w:p>
    <w:p>
      <w:pPr>
        <w:widowControl/>
        <w:spacing w:before="156" w:beforeLines="50" w:after="156" w:afterLines="50" w:line="600" w:lineRule="exact"/>
        <w:jc w:val="center"/>
        <w:rPr>
          <w:rFonts w:hint="eastAsia" w:ascii="仿宋" w:hAnsi="仿宋" w:eastAsia="仿宋" w:cs="宋体"/>
          <w:color w:val="000000"/>
          <w:kern w:val="0"/>
          <w:sz w:val="32"/>
          <w:szCs w:val="32"/>
        </w:rPr>
      </w:pPr>
      <w:r>
        <w:rPr>
          <w:rFonts w:hint="eastAsia" w:ascii="黑体" w:hAnsi="黑体" w:eastAsia="黑体" w:cs="黑体"/>
          <w:color w:val="000000"/>
          <w:kern w:val="0"/>
          <w:sz w:val="32"/>
          <w:szCs w:val="32"/>
        </w:rPr>
        <w:t>第三章 人员配备</w:t>
      </w:r>
    </w:p>
    <w:p>
      <w:pPr>
        <w:widowControl/>
        <w:spacing w:before="156" w:beforeLines="50" w:after="156" w:afterLines="50" w:line="600" w:lineRule="exac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第十三条 老年医学科医师是经卫生健康行政部门注册，取得临床专业执业资格，并经过相关培训，从事老年医学专业医疗服务的医师。老年医学科护士是经过卫生健康行政管理部门注册的护士。</w:t>
      </w:r>
    </w:p>
    <w:p>
      <w:pPr>
        <w:widowControl/>
        <w:spacing w:before="156" w:beforeLines="50" w:after="156" w:afterLines="50" w:line="600" w:lineRule="exac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第十四条 老年医学科每张病床应当配备医师≥0.3名，配备护士≥0.6名。老年医学科医师配置应当确保三级查房制度。鼓励有条件的医院配备康复治疗师、营养师、心理治疗师、临床药师等人员。</w:t>
      </w:r>
    </w:p>
    <w:p>
      <w:pPr>
        <w:widowControl/>
        <w:spacing w:line="600" w:lineRule="exac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第十五条 三级综合医院老年医学科主任应当由具有副高级以上专业技术资格，且在老年医学科连续工作5年以上的医师担任。二级综合医院的老年医学科主任应当由具备中级以上专业技术资格的医师担任。</w:t>
      </w:r>
    </w:p>
    <w:p>
      <w:pPr>
        <w:widowControl/>
        <w:spacing w:line="600" w:lineRule="exac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第十六条 综合医院应当确保老年医学科可持续发展，从业人员梯队完整结构合理，岗位责任分工明确，团队协作特征鲜明，服务流程科学，医疗质量规范，信息资料保存完整。</w:t>
      </w:r>
    </w:p>
    <w:p>
      <w:pPr>
        <w:widowControl/>
        <w:spacing w:line="600" w:lineRule="exact"/>
        <w:ind w:firstLine="66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第十七条 综合医院应当科学制订老年医学科人才培养目标以及岗位培训计划，定期实践考核，不断提高老年医学专业人员的素质和水平。</w:t>
      </w:r>
    </w:p>
    <w:p>
      <w:pPr>
        <w:widowControl/>
        <w:spacing w:line="600" w:lineRule="exact"/>
        <w:ind w:firstLine="660"/>
        <w:rPr>
          <w:rFonts w:hint="eastAsia" w:ascii="仿宋" w:hAnsi="仿宋" w:eastAsia="仿宋" w:cs="宋体"/>
          <w:color w:val="000000"/>
          <w:kern w:val="0"/>
          <w:sz w:val="32"/>
          <w:szCs w:val="32"/>
        </w:rPr>
      </w:pPr>
    </w:p>
    <w:p>
      <w:pPr>
        <w:widowControl/>
        <w:spacing w:before="156" w:beforeLines="50" w:after="156" w:afterLines="50" w:line="360" w:lineRule="auto"/>
        <w:jc w:val="center"/>
        <w:rPr>
          <w:rFonts w:hint="eastAsia" w:ascii="仿宋" w:hAnsi="仿宋" w:eastAsia="仿宋" w:cs="宋体"/>
          <w:color w:val="000000"/>
          <w:kern w:val="0"/>
          <w:sz w:val="32"/>
          <w:szCs w:val="32"/>
        </w:rPr>
      </w:pPr>
      <w:r>
        <w:rPr>
          <w:rFonts w:hint="eastAsia" w:ascii="黑体" w:hAnsi="黑体" w:eastAsia="黑体" w:cs="黑体"/>
          <w:color w:val="000000"/>
          <w:kern w:val="0"/>
          <w:sz w:val="32"/>
          <w:szCs w:val="32"/>
        </w:rPr>
        <w:t>第四章 科室管理</w:t>
      </w:r>
    </w:p>
    <w:p>
      <w:pPr>
        <w:widowControl/>
        <w:spacing w:line="600" w:lineRule="exac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第十八条 老年医学科应当建立健全并严格遵守执行相应的规章制度、岗位职责和诊疗规范、操作规程。</w:t>
      </w:r>
    </w:p>
    <w:p>
      <w:pPr>
        <w:widowControl/>
        <w:spacing w:line="600" w:lineRule="exac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第十九条 老年医学科应当制定老年综合评估技术规范，老年多学科服务模式，老年患者跌倒、坠床、压疮及误吸、安宁疗护等技术方案和处置措施。要按照医疗机构患者活动场所及坐卧设施安全要求等行业标准，制定符合老年特点的患者安全保障措施，并做好组织实施。要建立老年患者在院内及与康复、护理机构及社区卫生服务中心的双向转诊机制。</w:t>
      </w:r>
    </w:p>
    <w:p>
      <w:pPr>
        <w:widowControl/>
        <w:spacing w:line="600" w:lineRule="exac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第二十条 老年医学科应当遵循《医院感染管理办法》及相关法律法规的要求，加强医院感染管理，建立临床用血安全管理相关制度，保证医疗质量和安全。 </w:t>
      </w:r>
    </w:p>
    <w:p>
      <w:pPr>
        <w:widowControl/>
        <w:spacing w:before="156" w:beforeLines="50" w:after="156" w:afterLines="50" w:line="360" w:lineRule="auto"/>
        <w:jc w:val="center"/>
        <w:rPr>
          <w:rFonts w:hint="eastAsia" w:ascii="仿宋" w:hAnsi="仿宋" w:eastAsia="仿宋" w:cs="宋体"/>
          <w:color w:val="000000"/>
          <w:kern w:val="0"/>
          <w:sz w:val="32"/>
          <w:szCs w:val="32"/>
        </w:rPr>
      </w:pPr>
      <w:r>
        <w:rPr>
          <w:rFonts w:hint="eastAsia" w:ascii="黑体" w:hAnsi="黑体" w:eastAsia="黑体" w:cs="黑体"/>
          <w:color w:val="000000"/>
          <w:kern w:val="0"/>
          <w:sz w:val="32"/>
          <w:szCs w:val="32"/>
        </w:rPr>
        <w:t>第五章 质量监管</w:t>
      </w:r>
    </w:p>
    <w:p>
      <w:pPr>
        <w:widowControl/>
        <w:spacing w:line="600" w:lineRule="exac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第二十一条 省级卫生健康行政部门应当委托符合条件的机构作为老年医学专业医疗质量控制中心，按照《医疗质量管理办法》相关要求，开展老年医学专业医疗质量控制工作。</w:t>
      </w:r>
    </w:p>
    <w:p>
      <w:pPr>
        <w:widowControl/>
        <w:spacing w:line="600" w:lineRule="exact"/>
        <w:ind w:firstLine="66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第二十二条 医疗机构应当对卫生健康行政部门及其委托的老年医学专业医疗质量控制中心开展的指导和质控工作予以积极配合，不得拒绝和阻挠，不得提供虚假材料。</w:t>
      </w:r>
    </w:p>
    <w:p>
      <w:pPr>
        <w:widowControl/>
        <w:spacing w:line="600" w:lineRule="exact"/>
        <w:ind w:firstLine="660"/>
        <w:rPr>
          <w:rFonts w:hint="eastAsia" w:ascii="仿宋" w:hAnsi="仿宋" w:eastAsia="仿宋" w:cs="宋体"/>
          <w:color w:val="000000"/>
          <w:kern w:val="0"/>
          <w:sz w:val="32"/>
          <w:szCs w:val="32"/>
        </w:rPr>
      </w:pPr>
    </w:p>
    <w:p>
      <w:pPr>
        <w:widowControl/>
        <w:spacing w:before="156" w:beforeLines="50" w:after="156" w:afterLines="50" w:line="600" w:lineRule="exact"/>
        <w:jc w:val="center"/>
        <w:rPr>
          <w:rFonts w:hint="eastAsia" w:ascii="仿宋" w:hAnsi="仿宋" w:eastAsia="仿宋" w:cs="宋体"/>
          <w:color w:val="000000"/>
          <w:kern w:val="0"/>
          <w:sz w:val="32"/>
          <w:szCs w:val="32"/>
        </w:rPr>
      </w:pPr>
      <w:r>
        <w:rPr>
          <w:rFonts w:hint="eastAsia" w:ascii="黑体" w:hAnsi="黑体" w:eastAsia="黑体" w:cs="黑体"/>
          <w:color w:val="000000"/>
          <w:kern w:val="0"/>
          <w:sz w:val="32"/>
          <w:szCs w:val="32"/>
        </w:rPr>
        <w:t>第六章 附 则</w:t>
      </w:r>
    </w:p>
    <w:p>
      <w:pPr>
        <w:widowControl/>
        <w:spacing w:line="600" w:lineRule="exac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第二十三条 本指南由国家卫生健康委负责解释。</w:t>
      </w:r>
    </w:p>
    <w:p>
      <w:pPr>
        <w:widowControl/>
        <w:spacing w:line="600" w:lineRule="exac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第二十四条 本指南自发布之日起施行。</w:t>
      </w:r>
    </w:p>
    <w:p>
      <w:pPr>
        <w:spacing w:line="600" w:lineRule="exact"/>
        <w:rPr>
          <w:color w:val="000000"/>
        </w:rPr>
      </w:pPr>
    </w:p>
    <w:p>
      <w:pPr>
        <w:spacing w:line="600" w:lineRule="exact"/>
        <w:rPr>
          <w:color w:val="000000"/>
        </w:rPr>
      </w:pPr>
    </w:p>
    <w:p>
      <w:pPr>
        <w:spacing w:line="600" w:lineRule="exact"/>
        <w:rPr>
          <w:color w:val="000000"/>
        </w:rPr>
      </w:pPr>
    </w:p>
    <w:p>
      <w:pPr>
        <w:spacing w:line="600" w:lineRule="exact"/>
        <w:rPr>
          <w:color w:val="000000"/>
        </w:rPr>
      </w:pPr>
    </w:p>
    <w:p>
      <w:pPr>
        <w:spacing w:line="600" w:lineRule="exact"/>
        <w:rPr>
          <w:color w:val="000000"/>
        </w:rPr>
      </w:pPr>
    </w:p>
    <w:p>
      <w:pPr>
        <w:spacing w:line="600" w:lineRule="exact"/>
        <w:rPr>
          <w:color w:val="000000"/>
        </w:rPr>
      </w:pPr>
    </w:p>
    <w:p>
      <w:pPr>
        <w:spacing w:line="600" w:lineRule="exact"/>
        <w:rPr>
          <w:color w:val="000000"/>
        </w:rPr>
      </w:pPr>
    </w:p>
    <w:p>
      <w:pPr>
        <w:spacing w:line="600" w:lineRule="exact"/>
        <w:rPr>
          <w:rFonts w:hint="eastAsia" w:ascii="黑体" w:hAnsi="黑体" w:eastAsia="黑体" w:cs="黑体"/>
          <w:color w:val="000000"/>
          <w:sz w:val="32"/>
          <w:szCs w:val="32"/>
        </w:rPr>
      </w:pPr>
    </w:p>
    <w:p>
      <w:pPr>
        <w:spacing w:line="600" w:lineRule="exact"/>
        <w:rPr>
          <w:rFonts w:hint="eastAsia" w:ascii="黑体" w:hAnsi="黑体" w:eastAsia="黑体" w:cs="黑体"/>
          <w:color w:val="000000"/>
          <w:sz w:val="32"/>
          <w:szCs w:val="32"/>
        </w:rPr>
      </w:pPr>
    </w:p>
    <w:p>
      <w:pPr>
        <w:spacing w:line="600" w:lineRule="exact"/>
        <w:rPr>
          <w:rFonts w:hint="eastAsia" w:ascii="黑体" w:hAnsi="黑体" w:eastAsia="黑体" w:cs="黑体"/>
          <w:color w:val="000000"/>
          <w:sz w:val="32"/>
          <w:szCs w:val="32"/>
        </w:rPr>
      </w:pPr>
    </w:p>
    <w:p>
      <w:pPr>
        <w:spacing w:line="600" w:lineRule="exact"/>
        <w:rPr>
          <w:rFonts w:hint="eastAsia" w:ascii="黑体" w:hAnsi="黑体" w:eastAsia="黑体" w:cs="黑体"/>
          <w:color w:val="000000"/>
          <w:sz w:val="32"/>
          <w:szCs w:val="32"/>
        </w:rPr>
      </w:pPr>
      <w:bookmarkStart w:id="0" w:name="_GoBack"/>
      <w:bookmarkEnd w:id="0"/>
    </w:p>
    <w:p>
      <w:pPr>
        <w:spacing w:line="60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附件2</w:t>
      </w:r>
    </w:p>
    <w:p>
      <w:pPr>
        <w:spacing w:line="600" w:lineRule="exact"/>
        <w:rPr>
          <w:rFonts w:hint="eastAsia" w:ascii="黑体" w:hAnsi="黑体" w:eastAsia="黑体" w:cs="黑体"/>
          <w:color w:val="000000"/>
          <w:sz w:val="32"/>
          <w:szCs w:val="32"/>
        </w:rPr>
      </w:pPr>
    </w:p>
    <w:p>
      <w:pPr>
        <w:spacing w:line="600" w:lineRule="exact"/>
        <w:jc w:val="center"/>
        <w:rPr>
          <w:rFonts w:hint="eastAsia"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设置老年医学科的二级以上综合医院名单</w:t>
      </w:r>
    </w:p>
    <w:p>
      <w:pPr>
        <w:spacing w:line="600" w:lineRule="exact"/>
        <w:rPr>
          <w:rFonts w:hint="eastAsia" w:ascii="仿宋" w:hAnsi="仿宋" w:eastAsia="仿宋" w:cs="仿宋"/>
          <w:color w:val="000000"/>
          <w:kern w:val="0"/>
          <w:sz w:val="32"/>
          <w:szCs w:val="32"/>
        </w:rPr>
      </w:pPr>
    </w:p>
    <w:p>
      <w:pPr>
        <w:spacing w:line="60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 xml:space="preserve">填报单位：__市卫生健康委/省属医疗机构 </w:t>
      </w:r>
    </w:p>
    <w:tbl>
      <w:tblPr>
        <w:tblStyle w:val="3"/>
        <w:tblpPr w:leftFromText="180" w:rightFromText="180" w:vertAnchor="text" w:horzAnchor="page" w:tblpX="1820" w:tblpY="3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2073"/>
        <w:gridCol w:w="2032"/>
        <w:gridCol w:w="2031"/>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shd w:val="clear" w:color="auto" w:fill="auto"/>
            <w:noWrap w:val="0"/>
            <w:vAlign w:val="top"/>
          </w:tcPr>
          <w:p>
            <w:pPr>
              <w:spacing w:line="600" w:lineRule="exac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序号</w:t>
            </w:r>
          </w:p>
        </w:tc>
        <w:tc>
          <w:tcPr>
            <w:tcW w:w="2073" w:type="dxa"/>
            <w:shd w:val="clear" w:color="auto" w:fill="auto"/>
            <w:noWrap w:val="0"/>
            <w:vAlign w:val="top"/>
          </w:tcPr>
          <w:p>
            <w:pPr>
              <w:spacing w:line="600" w:lineRule="exac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医疗机构名称</w:t>
            </w:r>
          </w:p>
        </w:tc>
        <w:tc>
          <w:tcPr>
            <w:tcW w:w="2032" w:type="dxa"/>
            <w:shd w:val="clear" w:color="auto" w:fill="auto"/>
            <w:noWrap w:val="0"/>
            <w:vAlign w:val="center"/>
          </w:tcPr>
          <w:p>
            <w:pPr>
              <w:widowControl/>
              <w:jc w:val="center"/>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所有制形式（公立/民营）</w:t>
            </w:r>
          </w:p>
        </w:tc>
        <w:tc>
          <w:tcPr>
            <w:tcW w:w="2031" w:type="dxa"/>
            <w:shd w:val="clear" w:color="auto" w:fill="auto"/>
            <w:noWrap w:val="0"/>
            <w:vAlign w:val="center"/>
          </w:tcPr>
          <w:p>
            <w:pPr>
              <w:widowControl/>
              <w:jc w:val="center"/>
              <w:textAlignment w:val="center"/>
              <w:rPr>
                <w:rFonts w:hint="eastAsia" w:ascii="仿宋" w:hAnsi="仿宋" w:eastAsia="仿宋" w:cs="仿宋"/>
                <w:color w:val="000000"/>
                <w:kern w:val="0"/>
                <w:sz w:val="30"/>
                <w:szCs w:val="30"/>
                <w:lang w:bidi="ar"/>
              </w:rPr>
            </w:pPr>
            <w:r>
              <w:rPr>
                <w:rFonts w:hint="eastAsia" w:ascii="仿宋" w:hAnsi="仿宋" w:eastAsia="仿宋" w:cs="仿宋"/>
                <w:color w:val="000000"/>
                <w:kern w:val="0"/>
                <w:sz w:val="30"/>
                <w:szCs w:val="30"/>
                <w:lang w:bidi="ar"/>
              </w:rPr>
              <w:t>医院级别</w:t>
            </w:r>
          </w:p>
          <w:p>
            <w:pPr>
              <w:widowControl/>
              <w:jc w:val="center"/>
              <w:textAlignment w:val="center"/>
              <w:rPr>
                <w:rFonts w:hint="eastAsia" w:ascii="仿宋" w:hAnsi="仿宋" w:eastAsia="仿宋" w:cs="仿宋"/>
                <w:color w:val="000000"/>
                <w:sz w:val="30"/>
                <w:szCs w:val="30"/>
              </w:rPr>
            </w:pPr>
            <w:r>
              <w:rPr>
                <w:rFonts w:hint="eastAsia" w:ascii="仿宋" w:hAnsi="仿宋" w:eastAsia="仿宋" w:cs="仿宋"/>
                <w:color w:val="000000"/>
                <w:kern w:val="0"/>
                <w:sz w:val="30"/>
                <w:szCs w:val="30"/>
                <w:lang w:bidi="ar"/>
              </w:rPr>
              <w:t>（三级/二级）</w:t>
            </w:r>
          </w:p>
        </w:tc>
        <w:tc>
          <w:tcPr>
            <w:tcW w:w="1895" w:type="dxa"/>
            <w:shd w:val="clear" w:color="auto" w:fill="auto"/>
            <w:noWrap w:val="0"/>
            <w:vAlign w:val="top"/>
          </w:tcPr>
          <w:p>
            <w:pPr>
              <w:spacing w:line="600" w:lineRule="exac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设置老年医学科时间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shd w:val="clear" w:color="auto" w:fill="auto"/>
            <w:noWrap w:val="0"/>
            <w:vAlign w:val="top"/>
          </w:tcPr>
          <w:p>
            <w:pPr>
              <w:spacing w:line="600" w:lineRule="exact"/>
              <w:rPr>
                <w:rFonts w:ascii="仿宋" w:hAnsi="仿宋" w:eastAsia="仿宋" w:cs="仿宋"/>
                <w:color w:val="000000"/>
                <w:kern w:val="0"/>
                <w:sz w:val="32"/>
                <w:szCs w:val="32"/>
              </w:rPr>
            </w:pPr>
          </w:p>
        </w:tc>
        <w:tc>
          <w:tcPr>
            <w:tcW w:w="2073" w:type="dxa"/>
            <w:shd w:val="clear" w:color="auto" w:fill="auto"/>
            <w:noWrap w:val="0"/>
            <w:vAlign w:val="top"/>
          </w:tcPr>
          <w:p>
            <w:pPr>
              <w:spacing w:line="600" w:lineRule="exact"/>
              <w:rPr>
                <w:rFonts w:ascii="仿宋" w:hAnsi="仿宋" w:eastAsia="仿宋" w:cs="仿宋"/>
                <w:color w:val="000000"/>
                <w:kern w:val="0"/>
                <w:sz w:val="32"/>
                <w:szCs w:val="32"/>
              </w:rPr>
            </w:pPr>
          </w:p>
        </w:tc>
        <w:tc>
          <w:tcPr>
            <w:tcW w:w="2032" w:type="dxa"/>
            <w:shd w:val="clear" w:color="auto" w:fill="auto"/>
            <w:noWrap w:val="0"/>
            <w:vAlign w:val="top"/>
          </w:tcPr>
          <w:p>
            <w:pPr>
              <w:spacing w:line="600" w:lineRule="exact"/>
              <w:rPr>
                <w:rFonts w:ascii="仿宋" w:hAnsi="仿宋" w:eastAsia="仿宋" w:cs="仿宋"/>
                <w:color w:val="000000"/>
                <w:kern w:val="0"/>
                <w:sz w:val="32"/>
                <w:szCs w:val="32"/>
              </w:rPr>
            </w:pPr>
          </w:p>
        </w:tc>
        <w:tc>
          <w:tcPr>
            <w:tcW w:w="2031" w:type="dxa"/>
            <w:shd w:val="clear" w:color="auto" w:fill="auto"/>
            <w:noWrap w:val="0"/>
            <w:vAlign w:val="top"/>
          </w:tcPr>
          <w:p>
            <w:pPr>
              <w:spacing w:line="600" w:lineRule="exact"/>
              <w:rPr>
                <w:rFonts w:ascii="仿宋" w:hAnsi="仿宋" w:eastAsia="仿宋" w:cs="仿宋"/>
                <w:color w:val="000000"/>
                <w:kern w:val="0"/>
                <w:sz w:val="32"/>
                <w:szCs w:val="32"/>
              </w:rPr>
            </w:pPr>
          </w:p>
        </w:tc>
        <w:tc>
          <w:tcPr>
            <w:tcW w:w="1895" w:type="dxa"/>
            <w:shd w:val="clear" w:color="auto" w:fill="auto"/>
            <w:noWrap w:val="0"/>
            <w:vAlign w:val="top"/>
          </w:tcPr>
          <w:p>
            <w:pPr>
              <w:spacing w:line="600" w:lineRule="exact"/>
              <w:rPr>
                <w:rFonts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shd w:val="clear" w:color="auto" w:fill="auto"/>
            <w:noWrap w:val="0"/>
            <w:vAlign w:val="top"/>
          </w:tcPr>
          <w:p>
            <w:pPr>
              <w:spacing w:line="600" w:lineRule="exact"/>
              <w:rPr>
                <w:rFonts w:ascii="仿宋" w:hAnsi="仿宋" w:eastAsia="仿宋" w:cs="仿宋"/>
                <w:color w:val="000000"/>
                <w:kern w:val="0"/>
                <w:sz w:val="32"/>
                <w:szCs w:val="32"/>
              </w:rPr>
            </w:pPr>
          </w:p>
        </w:tc>
        <w:tc>
          <w:tcPr>
            <w:tcW w:w="2073" w:type="dxa"/>
            <w:shd w:val="clear" w:color="auto" w:fill="auto"/>
            <w:noWrap w:val="0"/>
            <w:vAlign w:val="top"/>
          </w:tcPr>
          <w:p>
            <w:pPr>
              <w:spacing w:line="600" w:lineRule="exact"/>
              <w:rPr>
                <w:rFonts w:ascii="仿宋" w:hAnsi="仿宋" w:eastAsia="仿宋" w:cs="仿宋"/>
                <w:color w:val="000000"/>
                <w:kern w:val="0"/>
                <w:sz w:val="32"/>
                <w:szCs w:val="32"/>
              </w:rPr>
            </w:pPr>
          </w:p>
        </w:tc>
        <w:tc>
          <w:tcPr>
            <w:tcW w:w="2032" w:type="dxa"/>
            <w:shd w:val="clear" w:color="auto" w:fill="auto"/>
            <w:noWrap w:val="0"/>
            <w:vAlign w:val="top"/>
          </w:tcPr>
          <w:p>
            <w:pPr>
              <w:spacing w:line="600" w:lineRule="exact"/>
              <w:rPr>
                <w:rFonts w:ascii="仿宋" w:hAnsi="仿宋" w:eastAsia="仿宋" w:cs="仿宋"/>
                <w:color w:val="000000"/>
                <w:kern w:val="0"/>
                <w:sz w:val="32"/>
                <w:szCs w:val="32"/>
              </w:rPr>
            </w:pPr>
          </w:p>
        </w:tc>
        <w:tc>
          <w:tcPr>
            <w:tcW w:w="2031" w:type="dxa"/>
            <w:shd w:val="clear" w:color="auto" w:fill="auto"/>
            <w:noWrap w:val="0"/>
            <w:vAlign w:val="top"/>
          </w:tcPr>
          <w:p>
            <w:pPr>
              <w:spacing w:line="600" w:lineRule="exact"/>
              <w:rPr>
                <w:rFonts w:ascii="仿宋" w:hAnsi="仿宋" w:eastAsia="仿宋" w:cs="仿宋"/>
                <w:color w:val="000000"/>
                <w:kern w:val="0"/>
                <w:sz w:val="32"/>
                <w:szCs w:val="32"/>
              </w:rPr>
            </w:pPr>
          </w:p>
        </w:tc>
        <w:tc>
          <w:tcPr>
            <w:tcW w:w="1895" w:type="dxa"/>
            <w:shd w:val="clear" w:color="auto" w:fill="auto"/>
            <w:noWrap w:val="0"/>
            <w:vAlign w:val="top"/>
          </w:tcPr>
          <w:p>
            <w:pPr>
              <w:spacing w:line="600" w:lineRule="exact"/>
              <w:rPr>
                <w:rFonts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 w:type="dxa"/>
            <w:shd w:val="clear" w:color="auto" w:fill="auto"/>
            <w:noWrap w:val="0"/>
            <w:vAlign w:val="top"/>
          </w:tcPr>
          <w:p>
            <w:pPr>
              <w:spacing w:line="600" w:lineRule="exact"/>
              <w:rPr>
                <w:rFonts w:ascii="仿宋" w:hAnsi="仿宋" w:eastAsia="仿宋" w:cs="仿宋"/>
                <w:color w:val="000000"/>
                <w:kern w:val="0"/>
                <w:sz w:val="32"/>
                <w:szCs w:val="32"/>
              </w:rPr>
            </w:pPr>
          </w:p>
        </w:tc>
        <w:tc>
          <w:tcPr>
            <w:tcW w:w="2073" w:type="dxa"/>
            <w:shd w:val="clear" w:color="auto" w:fill="auto"/>
            <w:noWrap w:val="0"/>
            <w:vAlign w:val="top"/>
          </w:tcPr>
          <w:p>
            <w:pPr>
              <w:spacing w:line="600" w:lineRule="exact"/>
              <w:rPr>
                <w:rFonts w:ascii="仿宋" w:hAnsi="仿宋" w:eastAsia="仿宋" w:cs="仿宋"/>
                <w:color w:val="000000"/>
                <w:kern w:val="0"/>
                <w:sz w:val="32"/>
                <w:szCs w:val="32"/>
              </w:rPr>
            </w:pPr>
          </w:p>
        </w:tc>
        <w:tc>
          <w:tcPr>
            <w:tcW w:w="2032" w:type="dxa"/>
            <w:shd w:val="clear" w:color="auto" w:fill="auto"/>
            <w:noWrap w:val="0"/>
            <w:vAlign w:val="top"/>
          </w:tcPr>
          <w:p>
            <w:pPr>
              <w:spacing w:line="600" w:lineRule="exact"/>
              <w:rPr>
                <w:rFonts w:ascii="仿宋" w:hAnsi="仿宋" w:eastAsia="仿宋" w:cs="仿宋"/>
                <w:color w:val="000000"/>
                <w:kern w:val="0"/>
                <w:sz w:val="32"/>
                <w:szCs w:val="32"/>
              </w:rPr>
            </w:pPr>
          </w:p>
        </w:tc>
        <w:tc>
          <w:tcPr>
            <w:tcW w:w="2031" w:type="dxa"/>
            <w:shd w:val="clear" w:color="auto" w:fill="auto"/>
            <w:noWrap w:val="0"/>
            <w:vAlign w:val="top"/>
          </w:tcPr>
          <w:p>
            <w:pPr>
              <w:spacing w:line="600" w:lineRule="exact"/>
              <w:rPr>
                <w:rFonts w:ascii="仿宋" w:hAnsi="仿宋" w:eastAsia="仿宋" w:cs="仿宋"/>
                <w:color w:val="000000"/>
                <w:kern w:val="0"/>
                <w:sz w:val="32"/>
                <w:szCs w:val="32"/>
              </w:rPr>
            </w:pPr>
          </w:p>
        </w:tc>
        <w:tc>
          <w:tcPr>
            <w:tcW w:w="1895" w:type="dxa"/>
            <w:shd w:val="clear" w:color="auto" w:fill="auto"/>
            <w:noWrap w:val="0"/>
            <w:vAlign w:val="top"/>
          </w:tcPr>
          <w:p>
            <w:pPr>
              <w:spacing w:line="600" w:lineRule="exact"/>
              <w:rPr>
                <w:rFonts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shd w:val="clear" w:color="auto" w:fill="auto"/>
            <w:noWrap w:val="0"/>
            <w:vAlign w:val="top"/>
          </w:tcPr>
          <w:p>
            <w:pPr>
              <w:spacing w:line="60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rPr>
              <w:t>注：辖区内二级以上综合医院数量：</w:t>
            </w:r>
          </w:p>
        </w:tc>
      </w:tr>
    </w:tbl>
    <w:p>
      <w:pPr>
        <w:spacing w:line="600" w:lineRule="exact"/>
        <w:rPr>
          <w:rFonts w:ascii="仿宋" w:hAnsi="仿宋" w:eastAsia="仿宋" w:cs="仿宋"/>
          <w:color w:val="000000"/>
          <w:kern w:val="0"/>
          <w:sz w:val="32"/>
          <w:szCs w:val="32"/>
        </w:rPr>
      </w:pPr>
    </w:p>
    <w:p/>
    <w:sectPr>
      <w:footerReference r:id="rId3" w:type="default"/>
      <w:pgSz w:w="11906" w:h="16838"/>
      <w:pgMar w:top="2041"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9F357A"/>
    <w:rsid w:val="019F3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customStyle="1" w:styleId="5">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2022-05-06T08:21:00Z</dcterms:created>
  <dc:creator>Administrator</dc:creator>
  <cp:lastModifiedBy>Administrator</cp:lastModifiedBy>
  <dcterms:modified xsi:type="dcterms:W3CDTF">2022-05-06T08:22:44Z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