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jc w:val="both"/>
        <w:rPr>
          <w:rFonts w:ascii="黑体" w:hAnsi="黑体" w:eastAsia="黑体" w:cs="黑体"/>
          <w:sz w:val="32"/>
          <w:szCs w:val="32"/>
        </w:rPr>
      </w:pPr>
      <w:r>
        <w:rPr>
          <w:rFonts w:hint="eastAsia" w:ascii="黑体" w:hAnsi="黑体" w:eastAsia="黑体" w:cs="黑体"/>
          <w:sz w:val="32"/>
          <w:szCs w:val="32"/>
        </w:rPr>
        <w:t>附件</w:t>
      </w:r>
    </w:p>
    <w:p>
      <w:pPr>
        <w:spacing w:before="157" w:beforeLines="50" w:line="600" w:lineRule="exact"/>
        <w:ind w:left="-420" w:leftChars="-200" w:firstLine="44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医疗卫生机构向签约养老服务机构提供协议医疗卫生服务项目（推荐）</w:t>
      </w:r>
    </w:p>
    <w:p>
      <w:pPr>
        <w:spacing w:line="600" w:lineRule="exact"/>
        <w:rPr>
          <w:rFonts w:ascii="宋体" w:hAnsi="宋体" w:cs="宋体"/>
          <w:bCs/>
          <w:kern w:val="0"/>
          <w:sz w:val="36"/>
          <w:szCs w:val="36"/>
        </w:rPr>
      </w:pPr>
      <w:r>
        <w:rPr>
          <w:rFonts w:hint="eastAsia" w:ascii="宋体" w:hAnsi="宋体" w:cs="宋体"/>
          <w:bCs/>
          <w:kern w:val="0"/>
          <w:sz w:val="36"/>
          <w:szCs w:val="36"/>
        </w:rPr>
        <w:t xml:space="preserve">                              </w:t>
      </w:r>
    </w:p>
    <w:tbl>
      <w:tblPr>
        <w:tblStyle w:val="7"/>
        <w:tblW w:w="14415" w:type="dxa"/>
        <w:jc w:val="center"/>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315"/>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1665" w:type="dxa"/>
            <w:noWrap w:val="0"/>
            <w:vAlign w:val="center"/>
          </w:tcPr>
          <w:p>
            <w:pPr>
              <w:widowControl/>
              <w:jc w:val="center"/>
              <w:rPr>
                <w:rFonts w:eastAsia="黑体"/>
                <w:bCs/>
                <w:kern w:val="0"/>
                <w:sz w:val="24"/>
              </w:rPr>
            </w:pPr>
            <w:r>
              <w:rPr>
                <w:rFonts w:eastAsia="黑体"/>
                <w:bCs/>
                <w:kern w:val="0"/>
                <w:sz w:val="24"/>
              </w:rPr>
              <w:t>项  目</w:t>
            </w:r>
          </w:p>
        </w:tc>
        <w:tc>
          <w:tcPr>
            <w:tcW w:w="9315" w:type="dxa"/>
            <w:noWrap w:val="0"/>
            <w:vAlign w:val="center"/>
          </w:tcPr>
          <w:p>
            <w:pPr>
              <w:widowControl/>
              <w:jc w:val="center"/>
              <w:rPr>
                <w:rFonts w:eastAsia="黑体"/>
                <w:bCs/>
                <w:kern w:val="0"/>
                <w:sz w:val="24"/>
              </w:rPr>
            </w:pPr>
            <w:r>
              <w:rPr>
                <w:rFonts w:eastAsia="黑体"/>
                <w:bCs/>
                <w:kern w:val="0"/>
                <w:sz w:val="24"/>
              </w:rPr>
              <w:t>服务内容</w:t>
            </w:r>
          </w:p>
        </w:tc>
        <w:tc>
          <w:tcPr>
            <w:tcW w:w="3435" w:type="dxa"/>
            <w:noWrap w:val="0"/>
            <w:vAlign w:val="center"/>
          </w:tcPr>
          <w:p>
            <w:pPr>
              <w:widowControl/>
              <w:jc w:val="center"/>
              <w:rPr>
                <w:rFonts w:eastAsia="黑体"/>
                <w:bCs/>
                <w:kern w:val="0"/>
                <w:sz w:val="24"/>
              </w:rPr>
            </w:pPr>
            <w:r>
              <w:rPr>
                <w:rFonts w:eastAsia="黑体"/>
                <w:bCs/>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atLeast"/>
          <w:jc w:val="center"/>
        </w:trPr>
        <w:tc>
          <w:tcPr>
            <w:tcW w:w="1665" w:type="dxa"/>
            <w:vMerge w:val="restart"/>
            <w:noWrap w:val="0"/>
            <w:vAlign w:val="center"/>
          </w:tcPr>
          <w:p>
            <w:pPr>
              <w:pStyle w:val="10"/>
              <w:ind w:firstLine="0" w:firstLineChars="0"/>
              <w:rPr>
                <w:rFonts w:ascii="Times New Roman" w:hAnsi="Times New Roman" w:eastAsia="仿宋_GB2312" w:cs="Times New Roman"/>
                <w:bCs/>
                <w:kern w:val="0"/>
                <w:sz w:val="24"/>
              </w:rPr>
            </w:pPr>
            <w:r>
              <w:rPr>
                <w:rFonts w:ascii="Times New Roman" w:hAnsi="Times New Roman" w:eastAsia="仿宋_GB2312" w:cs="Times New Roman"/>
                <w:kern w:val="0"/>
                <w:sz w:val="24"/>
              </w:rPr>
              <w:t>基本公共卫生服务项目</w:t>
            </w:r>
          </w:p>
        </w:tc>
        <w:tc>
          <w:tcPr>
            <w:tcW w:w="9315" w:type="dxa"/>
            <w:noWrap w:val="0"/>
            <w:vAlign w:val="center"/>
          </w:tcPr>
          <w:p>
            <w:pPr>
              <w:pStyle w:val="6"/>
              <w:widowControl/>
              <w:numPr>
                <w:ilvl w:val="0"/>
                <w:numId w:val="1"/>
              </w:numPr>
              <w:spacing w:beforeAutospacing="0" w:afterAutospacing="0"/>
              <w:jc w:val="both"/>
              <w:rPr>
                <w:rFonts w:eastAsia="仿宋_GB2312"/>
              </w:rPr>
            </w:pPr>
            <w:r>
              <w:rPr>
                <w:rFonts w:eastAsia="仿宋_GB2312"/>
              </w:rPr>
              <w:t>指导签约养老服务机构做好健康教育，定期或者不定期在签约养老服务机构开展健康教育宣传活动和专题健康咨询，举办健康讲座，为签约养老服务机构内住（托）养老人提供疾病预防、膳食营养、心理健康及中医药养生保健等指导，指导老年人建立合理膳食、控制体重、适当运动、心理平衡、改善睡眠、戒烟限酒、科学就医等健康生活方式，提高老年人自我保健的意识和能力。对于存在危险因素的老年人进行针对性的健康教育和危险因素干预</w:t>
            </w:r>
          </w:p>
        </w:tc>
        <w:tc>
          <w:tcPr>
            <w:tcW w:w="3435" w:type="dxa"/>
            <w:vMerge w:val="restart"/>
            <w:noWrap w:val="0"/>
            <w:vAlign w:val="center"/>
          </w:tcPr>
          <w:p>
            <w:pPr>
              <w:pStyle w:val="6"/>
              <w:widowControl/>
              <w:spacing w:beforeAutospacing="0" w:afterAutospacing="0"/>
              <w:jc w:val="both"/>
              <w:rPr>
                <w:rFonts w:eastAsia="仿宋_GB2312"/>
                <w:lang w:eastAsia="zh"/>
              </w:rPr>
            </w:pPr>
            <w:r>
              <w:rPr>
                <w:rFonts w:eastAsia="仿宋_GB2312"/>
              </w:rPr>
              <w:t>基层医疗卫生机构基本项目，其中，健康体检1次/年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vMerge w:val="continue"/>
            <w:noWrap w:val="0"/>
            <w:vAlign w:val="center"/>
          </w:tcPr>
          <w:p>
            <w:pPr>
              <w:rPr>
                <w:rFonts w:eastAsia="仿宋_GB2312"/>
                <w:kern w:val="0"/>
                <w:sz w:val="24"/>
              </w:rPr>
            </w:pPr>
          </w:p>
        </w:tc>
        <w:tc>
          <w:tcPr>
            <w:tcW w:w="9315" w:type="dxa"/>
            <w:noWrap w:val="0"/>
            <w:vAlign w:val="center"/>
          </w:tcPr>
          <w:p>
            <w:pPr>
              <w:rPr>
                <w:rFonts w:eastAsia="仿宋_GB2312"/>
                <w:kern w:val="0"/>
                <w:sz w:val="24"/>
              </w:rPr>
            </w:pPr>
            <w:r>
              <w:rPr>
                <w:rFonts w:eastAsia="仿宋_GB2312"/>
                <w:kern w:val="0"/>
                <w:sz w:val="24"/>
              </w:rPr>
              <w:t>（2）为签约养老服务机构老年人建立《居民健康档案》，为符合条件的65岁及以上老年人免费提供“国家基本公共卫生服务项目”中的健康体检和健康管理服务；开展中医药健康管理（中医体质辨识、中医药保健指导）；对发现已确诊的原发性高血压和2型糖尿病等老年病人，开展相应的慢性病患者健康管理。优先列入家庭医生签约服务范围</w:t>
            </w:r>
          </w:p>
        </w:tc>
        <w:tc>
          <w:tcPr>
            <w:tcW w:w="3435" w:type="dxa"/>
            <w:vMerge w:val="continue"/>
            <w:noWrap w:val="0"/>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vMerge w:val="continue"/>
            <w:noWrap w:val="0"/>
            <w:vAlign w:val="center"/>
          </w:tcPr>
          <w:p>
            <w:pPr>
              <w:rPr>
                <w:rFonts w:eastAsia="仿宋_GB2312"/>
                <w:kern w:val="0"/>
                <w:sz w:val="24"/>
              </w:rPr>
            </w:pPr>
          </w:p>
        </w:tc>
        <w:tc>
          <w:tcPr>
            <w:tcW w:w="9315" w:type="dxa"/>
            <w:noWrap w:val="0"/>
            <w:vAlign w:val="center"/>
          </w:tcPr>
          <w:p>
            <w:pPr>
              <w:rPr>
                <w:rFonts w:eastAsia="仿宋_GB2312"/>
                <w:kern w:val="0"/>
                <w:sz w:val="24"/>
              </w:rPr>
            </w:pPr>
            <w:r>
              <w:rPr>
                <w:rFonts w:eastAsia="仿宋_GB2312"/>
                <w:kern w:val="0"/>
                <w:sz w:val="24"/>
              </w:rPr>
              <w:t>（3）为签约养老服务机构老年人提供疫苗接种健康指导，并根据国家和地方免疫规划，引导符合条件的老年人到辖区预防接种门诊接受免疫规划疫苗接种服务</w:t>
            </w:r>
          </w:p>
        </w:tc>
        <w:tc>
          <w:tcPr>
            <w:tcW w:w="3435" w:type="dxa"/>
            <w:vMerge w:val="continue"/>
            <w:noWrap w:val="0"/>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vMerge w:val="continue"/>
            <w:noWrap w:val="0"/>
            <w:vAlign w:val="center"/>
          </w:tcPr>
          <w:p>
            <w:pPr>
              <w:rPr>
                <w:rFonts w:eastAsia="仿宋_GB2312"/>
                <w:bCs/>
                <w:kern w:val="0"/>
                <w:sz w:val="24"/>
              </w:rPr>
            </w:pPr>
          </w:p>
        </w:tc>
        <w:tc>
          <w:tcPr>
            <w:tcW w:w="9315" w:type="dxa"/>
            <w:noWrap w:val="0"/>
            <w:vAlign w:val="center"/>
          </w:tcPr>
          <w:p>
            <w:pPr>
              <w:pStyle w:val="6"/>
              <w:widowControl/>
              <w:spacing w:beforeAutospacing="0" w:afterAutospacing="0"/>
              <w:jc w:val="both"/>
              <w:rPr>
                <w:rFonts w:eastAsia="仿宋_GB2312"/>
                <w:bCs/>
              </w:rPr>
            </w:pPr>
            <w:r>
              <w:rPr>
                <w:rFonts w:eastAsia="仿宋_GB2312"/>
              </w:rPr>
              <w:t>（4）按照《浙江省新划入基本公共卫生服务项目工作规范（2020年版）》要求，为签约养老服务机构65岁及以上老年人提供老年健康和医养结合服务（包含血压测量、末梢血血糖检测、康复指导、护理技能指导、保健咨询、营养改善指导等），对失能老年人进行健康评估及健康服务</w:t>
            </w:r>
          </w:p>
        </w:tc>
        <w:tc>
          <w:tcPr>
            <w:tcW w:w="3435" w:type="dxa"/>
            <w:noWrap w:val="0"/>
            <w:vAlign w:val="center"/>
          </w:tcPr>
          <w:p>
            <w:pPr>
              <w:pStyle w:val="6"/>
              <w:widowControl/>
              <w:spacing w:beforeAutospacing="0" w:afterAutospacing="0"/>
              <w:jc w:val="both"/>
              <w:rPr>
                <w:rFonts w:eastAsia="仿宋_GB2312"/>
              </w:rPr>
            </w:pPr>
            <w:r>
              <w:rPr>
                <w:rFonts w:eastAsia="仿宋_GB2312"/>
              </w:rPr>
              <w:t>基层医疗卫生机构逐步开展项目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665" w:type="dxa"/>
            <w:noWrap w:val="0"/>
            <w:vAlign w:val="center"/>
          </w:tcPr>
          <w:p>
            <w:pPr>
              <w:rPr>
                <w:rFonts w:eastAsia="仿宋_GB2312"/>
                <w:bCs/>
                <w:kern w:val="0"/>
                <w:sz w:val="24"/>
              </w:rPr>
            </w:pPr>
            <w:r>
              <w:rPr>
                <w:rFonts w:eastAsia="仿宋_GB2312"/>
                <w:kern w:val="0"/>
                <w:sz w:val="24"/>
              </w:rPr>
              <w:t>疾病诊疗服务</w:t>
            </w:r>
          </w:p>
        </w:tc>
        <w:tc>
          <w:tcPr>
            <w:tcW w:w="9315" w:type="dxa"/>
            <w:noWrap w:val="0"/>
            <w:vAlign w:val="center"/>
          </w:tcPr>
          <w:p>
            <w:pPr>
              <w:rPr>
                <w:rFonts w:eastAsia="仿宋_GB2312"/>
                <w:bCs/>
                <w:kern w:val="0"/>
                <w:sz w:val="24"/>
              </w:rPr>
            </w:pPr>
            <w:r>
              <w:rPr>
                <w:rFonts w:eastAsia="仿宋_GB2312"/>
                <w:sz w:val="24"/>
              </w:rPr>
              <w:t>（5）安排执业医师为签约养老服务机构住</w:t>
            </w:r>
            <w:r>
              <w:rPr>
                <w:rFonts w:hint="eastAsia" w:eastAsia="仿宋_GB2312"/>
                <w:sz w:val="24"/>
              </w:rPr>
              <w:t>（</w:t>
            </w:r>
            <w:r>
              <w:rPr>
                <w:rFonts w:eastAsia="仿宋_GB2312"/>
                <w:sz w:val="24"/>
              </w:rPr>
              <w:t>托</w:t>
            </w:r>
            <w:r>
              <w:rPr>
                <w:rFonts w:hint="eastAsia" w:eastAsia="仿宋_GB2312"/>
                <w:sz w:val="24"/>
              </w:rPr>
              <w:t>）</w:t>
            </w:r>
            <w:r>
              <w:rPr>
                <w:rFonts w:eastAsia="仿宋_GB2312"/>
                <w:sz w:val="24"/>
              </w:rPr>
              <w:t>养老年人提供常见病、多发病等疾病的诊疗服务。为符合条件的慢性病老年患者提供长期处方服务</w:t>
            </w:r>
          </w:p>
        </w:tc>
        <w:tc>
          <w:tcPr>
            <w:tcW w:w="3435" w:type="dxa"/>
            <w:noWrap w:val="0"/>
            <w:vAlign w:val="center"/>
          </w:tcPr>
          <w:p>
            <w:pPr>
              <w:rPr>
                <w:rFonts w:eastAsia="仿宋_GB2312"/>
                <w:sz w:val="24"/>
              </w:rPr>
            </w:pPr>
            <w:r>
              <w:rPr>
                <w:rFonts w:eastAsia="仿宋_GB2312"/>
                <w:kern w:val="0"/>
                <w:sz w:val="24"/>
              </w:rPr>
              <w:t>基本项目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665" w:type="dxa"/>
            <w:noWrap w:val="0"/>
            <w:vAlign w:val="center"/>
          </w:tcPr>
          <w:p>
            <w:pPr>
              <w:rPr>
                <w:rFonts w:eastAsia="仿宋_GB2312"/>
                <w:kern w:val="0"/>
                <w:sz w:val="24"/>
              </w:rPr>
            </w:pPr>
            <w:r>
              <w:rPr>
                <w:rFonts w:eastAsia="仿宋_GB2312"/>
                <w:kern w:val="0"/>
                <w:sz w:val="24"/>
              </w:rPr>
              <w:t>医疗康复服务</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（6）安排专业康复医师为签约养老服务机构内需要康复的老年人提供专业医疗康复服务和康复技能指导</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1665" w:type="dxa"/>
            <w:noWrap w:val="0"/>
            <w:vAlign w:val="center"/>
          </w:tcPr>
          <w:p>
            <w:pPr>
              <w:rPr>
                <w:rFonts w:eastAsia="仿宋_GB2312"/>
                <w:sz w:val="24"/>
              </w:rPr>
            </w:pPr>
            <w:r>
              <w:rPr>
                <w:rFonts w:eastAsia="仿宋_GB2312"/>
                <w:kern w:val="0"/>
                <w:sz w:val="24"/>
              </w:rPr>
              <w:t>医疗护理服务</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7）安排医务人员为签约养老服务机构有需求的老年人提供管路护理、压疮管理和其他专业的医疗护理服务，具备条件的医疗卫生机构向签约养老服务机构开展老年护理需求评估工作，并根据老年人健康状况和护理需求评估结果，为有需求的老年人提供针对性的医疗护理服务</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665" w:type="dxa"/>
            <w:noWrap w:val="0"/>
            <w:vAlign w:val="center"/>
          </w:tcPr>
          <w:p>
            <w:pPr>
              <w:rPr>
                <w:rFonts w:eastAsia="仿宋_GB2312"/>
                <w:kern w:val="0"/>
                <w:sz w:val="24"/>
              </w:rPr>
            </w:pPr>
            <w:r>
              <w:rPr>
                <w:rFonts w:eastAsia="仿宋_GB2312"/>
                <w:kern w:val="0"/>
                <w:sz w:val="24"/>
              </w:rPr>
              <w:t>中医药服务</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8）为签约养老服务机构住（托）养老年人提供中医诊疗、中医康复、中医健康状态辨识与评估、咨询指导、健康管理等服务。可根据签约协议为签约养老服务机构工作人员提供中医药技能指导，推广普及中医保健知识和易于掌握的中医推拿、贴敷、刮痧、拔罐、中医养生操等中医保健技术与办法。签约养老服务机构根据入住老人的健康服务需求，与签约医疗卫生机构商定具体的中医药服务项目包</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有中医药服务资质和能力的医疗卫生机构开展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1665" w:type="dxa"/>
            <w:noWrap w:val="0"/>
            <w:vAlign w:val="center"/>
          </w:tcPr>
          <w:p>
            <w:pPr>
              <w:rPr>
                <w:rFonts w:eastAsia="仿宋_GB2312"/>
                <w:sz w:val="24"/>
              </w:rPr>
            </w:pPr>
            <w:r>
              <w:rPr>
                <w:rFonts w:eastAsia="仿宋_GB2312"/>
                <w:kern w:val="0"/>
                <w:sz w:val="24"/>
              </w:rPr>
              <w:t>精神卫生服务</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9）安排精神卫生专业人员为签约养老服务机构内有需求的老年人提供精神卫生或心理健康相关服务。针对老年人的心理特征、认知功能、心理支持需求等情况，提供专业的疾病诊疗、情绪调节、心理支持、危机干预、交流沟通等个性化服务</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kern w:val="0"/>
                <w:sz w:val="24"/>
              </w:rPr>
            </w:pPr>
            <w:r>
              <w:rPr>
                <w:rFonts w:eastAsia="仿宋_GB2312"/>
                <w:kern w:val="0"/>
                <w:sz w:val="24"/>
              </w:rPr>
              <w:t>安宁疗护服务</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10）安排专业医疗卫生人员为签约养老服务机构内处于生命终末期的老年人提供症状控制、舒适照护、心理支持和人文关怀等服务，指导签约养老服务机构对终末期老年人家属进行情绪疏导、哀伤辅导等心理关怀服务</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kern w:val="0"/>
                <w:sz w:val="24"/>
              </w:rPr>
            </w:pPr>
            <w:r>
              <w:rPr>
                <w:rFonts w:eastAsia="仿宋_GB2312"/>
                <w:kern w:val="0"/>
                <w:sz w:val="24"/>
              </w:rPr>
              <w:t>家庭病床服务</w:t>
            </w:r>
          </w:p>
        </w:tc>
        <w:tc>
          <w:tcPr>
            <w:tcW w:w="9315" w:type="dxa"/>
            <w:noWrap w:val="0"/>
            <w:vAlign w:val="center"/>
          </w:tcPr>
          <w:p>
            <w:pPr>
              <w:pStyle w:val="6"/>
              <w:widowControl/>
              <w:spacing w:beforeAutospacing="0" w:afterAutospacing="0"/>
              <w:jc w:val="both"/>
              <w:rPr>
                <w:rFonts w:eastAsia="仿宋_GB2312"/>
                <w:kern w:val="2"/>
              </w:rPr>
            </w:pPr>
            <w:r>
              <w:rPr>
                <w:rFonts w:eastAsia="仿宋_GB2312"/>
              </w:rPr>
              <w:t>（11）医疗卫生机构在辖区卫生健康行政部门的指导和规定下，在签约养老服务机构设立家庭病床，为诊断明确、病情稳定、符合建床条件的老年人提供必要的查床、护理、会诊与转诊服务</w:t>
            </w:r>
          </w:p>
        </w:tc>
        <w:tc>
          <w:tcPr>
            <w:tcW w:w="3435" w:type="dxa"/>
            <w:noWrap w:val="0"/>
            <w:vAlign w:val="center"/>
          </w:tcPr>
          <w:p>
            <w:pPr>
              <w:pStyle w:val="6"/>
              <w:widowControl/>
              <w:spacing w:beforeAutospacing="0" w:afterAutospacing="0"/>
              <w:jc w:val="both"/>
              <w:rPr>
                <w:rFonts w:eastAsia="仿宋_GB231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kern w:val="0"/>
                <w:sz w:val="24"/>
              </w:rPr>
            </w:pPr>
            <w:r>
              <w:rPr>
                <w:rFonts w:eastAsia="仿宋_GB2312"/>
                <w:kern w:val="0"/>
                <w:sz w:val="24"/>
              </w:rPr>
              <w:t>急诊急救绿色通道服务</w:t>
            </w:r>
          </w:p>
        </w:tc>
        <w:tc>
          <w:tcPr>
            <w:tcW w:w="9315" w:type="dxa"/>
            <w:noWrap w:val="0"/>
            <w:vAlign w:val="center"/>
          </w:tcPr>
          <w:p>
            <w:pPr>
              <w:pStyle w:val="6"/>
              <w:widowControl/>
              <w:spacing w:beforeAutospacing="0" w:afterAutospacing="0"/>
              <w:jc w:val="both"/>
              <w:rPr>
                <w:rFonts w:eastAsia="仿宋_GB2312"/>
                <w:kern w:val="2"/>
              </w:rPr>
            </w:pPr>
            <w:r>
              <w:rPr>
                <w:rFonts w:eastAsia="仿宋_GB2312"/>
                <w:kern w:val="2"/>
              </w:rPr>
              <w:t>（12）二级以上医疗机构应为签约养老服务机构内有需求的老年人提供急诊急救绿色通道，重点为急危重症老年患者提供相应服务，必要时将急危重症老年患者转运至本院或上级医院进行紧急救治</w:t>
            </w:r>
          </w:p>
        </w:tc>
        <w:tc>
          <w:tcPr>
            <w:tcW w:w="3435" w:type="dxa"/>
            <w:noWrap w:val="0"/>
            <w:vAlign w:val="center"/>
          </w:tcPr>
          <w:p>
            <w:pPr>
              <w:pStyle w:val="6"/>
              <w:widowControl/>
              <w:spacing w:beforeAutospacing="0" w:afterAutospacing="0"/>
              <w:jc w:val="both"/>
              <w:rPr>
                <w:rFonts w:eastAsia="仿宋_GB2312"/>
              </w:rPr>
            </w:pPr>
            <w:r>
              <w:rPr>
                <w:rFonts w:eastAsia="仿宋_GB2312"/>
                <w:color w:val="000000"/>
              </w:rPr>
              <w:t>有条件的医院开展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kern w:val="0"/>
                <w:sz w:val="24"/>
              </w:rPr>
            </w:pPr>
            <w:r>
              <w:rPr>
                <w:rFonts w:eastAsia="仿宋_GB2312"/>
                <w:kern w:val="0"/>
                <w:sz w:val="24"/>
              </w:rPr>
              <w:t>双向转诊服务</w:t>
            </w:r>
          </w:p>
        </w:tc>
        <w:tc>
          <w:tcPr>
            <w:tcW w:w="9315" w:type="dxa"/>
            <w:noWrap w:val="0"/>
            <w:vAlign w:val="center"/>
          </w:tcPr>
          <w:p>
            <w:pPr>
              <w:pStyle w:val="6"/>
              <w:widowControl/>
              <w:spacing w:beforeAutospacing="0" w:afterAutospacing="0"/>
              <w:jc w:val="both"/>
              <w:rPr>
                <w:rFonts w:eastAsia="仿宋_GB2312"/>
                <w:kern w:val="2"/>
              </w:rPr>
            </w:pPr>
            <w:r>
              <w:rPr>
                <w:rFonts w:eastAsia="仿宋_GB2312"/>
                <w:kern w:val="2"/>
              </w:rPr>
              <w:t>（13）对于内部设置医疗卫生机构的养老机构，签约医疗卫生机构与有条件的养老机构内设医疗卫生机构建立双向转诊机制，转诊应当严格按照医疗机构出入院标准和双向转诊指征，为住（托）养老年人提供连续、全流程的医疗卫生服务</w:t>
            </w:r>
          </w:p>
        </w:tc>
        <w:tc>
          <w:tcPr>
            <w:tcW w:w="3435" w:type="dxa"/>
            <w:noWrap w:val="0"/>
            <w:vAlign w:val="center"/>
          </w:tcPr>
          <w:p>
            <w:pPr>
              <w:pStyle w:val="6"/>
              <w:widowControl/>
              <w:spacing w:beforeAutospacing="0" w:afterAutospacing="0"/>
              <w:jc w:val="both"/>
              <w:rPr>
                <w:rFonts w:eastAsia="仿宋_GB2312"/>
              </w:rPr>
            </w:pPr>
            <w:r>
              <w:rPr>
                <w:rFonts w:eastAsia="仿宋_GB2312"/>
                <w:color w:val="000000"/>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kern w:val="0"/>
                <w:sz w:val="24"/>
              </w:rPr>
            </w:pPr>
            <w:r>
              <w:rPr>
                <w:rFonts w:eastAsia="仿宋_GB2312"/>
                <w:kern w:val="0"/>
                <w:sz w:val="24"/>
              </w:rPr>
              <w:t>药事管理指导</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（14）为签约养老服务机构提供药事管理指导，包括日常摆药、储存、质量管理等，为养老服务机构入住老年人提供合理用药指导</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sz w:val="24"/>
              </w:rPr>
            </w:pPr>
            <w:r>
              <w:rPr>
                <w:rFonts w:eastAsia="仿宋_GB2312"/>
                <w:kern w:val="0"/>
                <w:sz w:val="24"/>
              </w:rPr>
              <w:t>传染病防控和院内感染风险防控指导</w:t>
            </w:r>
          </w:p>
        </w:tc>
        <w:tc>
          <w:tcPr>
            <w:tcW w:w="9315" w:type="dxa"/>
            <w:noWrap w:val="0"/>
            <w:vAlign w:val="center"/>
          </w:tcPr>
          <w:p>
            <w:pPr>
              <w:pStyle w:val="6"/>
              <w:widowControl/>
              <w:spacing w:beforeAutospacing="0" w:afterAutospacing="0"/>
              <w:jc w:val="both"/>
              <w:rPr>
                <w:rFonts w:eastAsia="仿宋_GB2312"/>
                <w:kern w:val="2"/>
              </w:rPr>
            </w:pPr>
            <w:r>
              <w:rPr>
                <w:rFonts w:eastAsia="仿宋_GB2312"/>
                <w:kern w:val="2"/>
              </w:rPr>
              <w:t>（15）指导签约养老服务机构严格执行相关管理制度、操作规范，协助养老机构内设医疗机构医疗废弃物的规范处置，提高传染病防控和院内感染风险防控意识和能力。指导其加强机构内感染预防与控制工作，做好传染病防控、疫情监测信息报告等工作</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sz w:val="24"/>
              </w:rPr>
            </w:pPr>
            <w:r>
              <w:rPr>
                <w:rFonts w:eastAsia="仿宋_GB2312"/>
                <w:kern w:val="0"/>
                <w:sz w:val="24"/>
              </w:rPr>
              <w:t>专业培训</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（16）定期组织签约养老机构内设医疗卫生机构的医务人员参加继续医学教育。如有能力和相应条件</w:t>
            </w:r>
            <w:r>
              <w:rPr>
                <w:rFonts w:eastAsia="仿宋_GB2312"/>
                <w:kern w:val="2"/>
                <w:lang w:eastAsia="zh"/>
              </w:rPr>
              <w:t>,</w:t>
            </w:r>
            <w:r>
              <w:rPr>
                <w:rFonts w:eastAsia="仿宋_GB2312"/>
                <w:kern w:val="2"/>
              </w:rPr>
              <w:t>对签约养老服务机构的工作人员组织开展应急救护等医疗卫生专业知识和技能的专项培训</w:t>
            </w:r>
          </w:p>
        </w:tc>
        <w:tc>
          <w:tcPr>
            <w:tcW w:w="3435" w:type="dxa"/>
            <w:noWrap w:val="0"/>
            <w:vAlign w:val="center"/>
          </w:tcPr>
          <w:p>
            <w:pPr>
              <w:pStyle w:val="6"/>
              <w:widowControl/>
              <w:spacing w:beforeAutospacing="0" w:afterAutospacing="0"/>
              <w:jc w:val="both"/>
              <w:rPr>
                <w:rFonts w:eastAsia="仿宋_GB2312"/>
                <w:kern w:val="2"/>
              </w:rPr>
            </w:pPr>
            <w:r>
              <w:rPr>
                <w:rFonts w:eastAsia="仿宋_GB2312"/>
              </w:rPr>
              <w:t>有条件的医疗卫生机构开展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65" w:type="dxa"/>
            <w:noWrap w:val="0"/>
            <w:vAlign w:val="center"/>
          </w:tcPr>
          <w:p>
            <w:pPr>
              <w:rPr>
                <w:rFonts w:eastAsia="仿宋_GB2312"/>
                <w:bCs/>
                <w:kern w:val="0"/>
                <w:sz w:val="24"/>
              </w:rPr>
            </w:pPr>
            <w:r>
              <w:rPr>
                <w:rFonts w:eastAsia="仿宋_GB2312"/>
                <w:kern w:val="0"/>
                <w:sz w:val="24"/>
              </w:rPr>
              <w:t>远程医疗服务</w:t>
            </w:r>
          </w:p>
        </w:tc>
        <w:tc>
          <w:tcPr>
            <w:tcW w:w="9315" w:type="dxa"/>
            <w:noWrap w:val="0"/>
            <w:vAlign w:val="center"/>
          </w:tcPr>
          <w:p>
            <w:pPr>
              <w:pStyle w:val="6"/>
              <w:widowControl/>
              <w:spacing w:beforeAutospacing="0" w:afterAutospacing="0"/>
              <w:jc w:val="both"/>
              <w:rPr>
                <w:rFonts w:eastAsia="仿宋_GB2312"/>
              </w:rPr>
            </w:pPr>
            <w:r>
              <w:rPr>
                <w:rFonts w:eastAsia="仿宋_GB2312"/>
                <w:kern w:val="2"/>
              </w:rPr>
              <w:t>（17）签约双方具备相应条件，根据签约养老服务机构老年人需求，签约医疗机构面向签约养老服务机构内设医疗卫生机构开展远程医疗服务</w:t>
            </w:r>
          </w:p>
        </w:tc>
        <w:tc>
          <w:tcPr>
            <w:tcW w:w="3435" w:type="dxa"/>
            <w:noWrap w:val="0"/>
            <w:vAlign w:val="center"/>
          </w:tcPr>
          <w:p>
            <w:pPr>
              <w:pStyle w:val="6"/>
              <w:widowControl/>
              <w:spacing w:beforeAutospacing="0" w:afterAutospacing="0"/>
              <w:jc w:val="both"/>
              <w:rPr>
                <w:rFonts w:eastAsia="仿宋_GB2312"/>
                <w:kern w:val="2"/>
              </w:rPr>
            </w:pPr>
            <w:r>
              <w:rPr>
                <w:rFonts w:eastAsia="仿宋_GB2312"/>
                <w:color w:val="000000"/>
              </w:rPr>
              <w:t>有条件的医疗卫生机构开展</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629DE"/>
    <w:multiLevelType w:val="singleLevel"/>
    <w:tmpl w:val="7F7629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17385"/>
    <w:rsid w:val="0931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styleId="3">
    <w:name w:val="Body Text Indent"/>
    <w:basedOn w:val="1"/>
    <w:next w:val="1"/>
    <w:qFormat/>
    <w:uiPriority w:val="0"/>
    <w:pPr>
      <w:spacing w:line="150" w:lineRule="atLeast"/>
      <w:ind w:firstLine="420" w:firstLineChars="200"/>
      <w:textAlignment w:val="baseline"/>
    </w:pPr>
    <w:rPr>
      <w:rFonts w:cs="Times New Roman"/>
      <w:szCs w:val="24"/>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page number"/>
    <w:uiPriority w:val="0"/>
  </w:style>
  <w:style w:type="paragraph" w:customStyle="1" w:styleId="10">
    <w:name w:val="列出段落2"/>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2022-04-28T01:05:00Z</dcterms:created>
  <dc:creator>admin</dc:creator>
  <cp:lastModifiedBy>admin</cp:lastModifiedBy>
  <dcterms:modified xsi:type="dcterms:W3CDTF">2022-04-28T01:06:33Z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