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E8F8" w14:textId="77777777" w:rsidR="006C431C" w:rsidRDefault="00FA4F19" w:rsidP="0022226F">
      <w:pPr>
        <w:spacing w:line="500" w:lineRule="atLeast"/>
        <w:jc w:val="center"/>
        <w:rPr>
          <w:rStyle w:val="NormalCharacter"/>
          <w:rFonts w:ascii="黑体" w:eastAsia="黑体" w:hAnsi="黑体"/>
          <w:b/>
          <w:sz w:val="28"/>
          <w:szCs w:val="28"/>
        </w:rPr>
      </w:pPr>
      <w:r w:rsidRPr="0022226F">
        <w:rPr>
          <w:rStyle w:val="NormalCharacter"/>
          <w:rFonts w:ascii="黑体" w:eastAsia="黑体" w:hAnsi="黑体"/>
          <w:b/>
          <w:sz w:val="28"/>
          <w:szCs w:val="28"/>
        </w:rPr>
        <w:t>鱼鳔</w:t>
      </w:r>
    </w:p>
    <w:p w14:paraId="29464544" w14:textId="77777777" w:rsidR="006C431C" w:rsidRDefault="00FA4F19">
      <w:pPr>
        <w:jc w:val="center"/>
        <w:rPr>
          <w:rStyle w:val="NormalCharacter"/>
          <w:b/>
          <w:sz w:val="24"/>
        </w:rPr>
      </w:pPr>
      <w:proofErr w:type="spellStart"/>
      <w:r w:rsidRPr="0022226F">
        <w:rPr>
          <w:rStyle w:val="NormalCharacter"/>
          <w:b/>
          <w:sz w:val="24"/>
        </w:rPr>
        <w:t>Yubiao</w:t>
      </w:r>
      <w:proofErr w:type="spellEnd"/>
    </w:p>
    <w:p w14:paraId="07DC0D03" w14:textId="77777777" w:rsidR="006C431C" w:rsidRDefault="00FA4F19">
      <w:pPr>
        <w:snapToGrid w:val="0"/>
        <w:spacing w:line="440" w:lineRule="exact"/>
        <w:jc w:val="center"/>
        <w:rPr>
          <w:rStyle w:val="NormalCharacter"/>
          <w:sz w:val="28"/>
          <w:szCs w:val="28"/>
        </w:rPr>
      </w:pPr>
      <w:r w:rsidRPr="0022226F">
        <w:rPr>
          <w:rStyle w:val="NormalCharacter"/>
          <w:sz w:val="28"/>
          <w:szCs w:val="28"/>
        </w:rPr>
        <w:t>COLLA PISCIS ICHTHYOCOLLA</w:t>
      </w:r>
    </w:p>
    <w:p w14:paraId="1FEBCE42" w14:textId="77777777" w:rsidR="006C431C" w:rsidRDefault="006C431C">
      <w:pPr>
        <w:ind w:firstLineChars="200" w:firstLine="200"/>
        <w:rPr>
          <w:rStyle w:val="NormalCharacter"/>
          <w:sz w:val="10"/>
          <w:szCs w:val="10"/>
        </w:rPr>
      </w:pPr>
    </w:p>
    <w:p w14:paraId="34548D39" w14:textId="77777777" w:rsidR="006C431C" w:rsidRDefault="00FA4F19" w:rsidP="008D47DF">
      <w:pPr>
        <w:spacing w:line="440" w:lineRule="exact"/>
        <w:ind w:firstLineChars="200" w:firstLine="420"/>
        <w:rPr>
          <w:rStyle w:val="NormalCharacter"/>
        </w:rPr>
      </w:pPr>
      <w:r w:rsidRPr="0022226F">
        <w:rPr>
          <w:rStyle w:val="NormalCharacter"/>
        </w:rPr>
        <w:t>本品为石首鱼科动物大黄鱼</w:t>
      </w:r>
      <w:r w:rsidRPr="0022226F">
        <w:rPr>
          <w:rStyle w:val="NormalCharacter"/>
        </w:rPr>
        <w:t xml:space="preserve"> </w:t>
      </w:r>
      <w:proofErr w:type="spellStart"/>
      <w:r w:rsidRPr="0022226F">
        <w:rPr>
          <w:rStyle w:val="NormalCharacter"/>
          <w:i/>
          <w:color w:val="000000"/>
        </w:rPr>
        <w:t>Pseudosciaena</w:t>
      </w:r>
      <w:proofErr w:type="spellEnd"/>
      <w:r w:rsidRPr="0022226F">
        <w:rPr>
          <w:rStyle w:val="NormalCharacter"/>
          <w:i/>
          <w:color w:val="000000"/>
        </w:rPr>
        <w:t xml:space="preserve"> </w:t>
      </w:r>
      <w:proofErr w:type="spellStart"/>
      <w:r w:rsidRPr="0022226F">
        <w:rPr>
          <w:rStyle w:val="NormalCharacter"/>
          <w:i/>
          <w:color w:val="000000"/>
        </w:rPr>
        <w:t>crocea</w:t>
      </w:r>
      <w:proofErr w:type="spellEnd"/>
      <w:r w:rsidRPr="0022226F">
        <w:rPr>
          <w:rStyle w:val="NormalCharacter"/>
          <w:color w:val="000000"/>
        </w:rPr>
        <w:t xml:space="preserve"> (Richardson)</w:t>
      </w:r>
      <w:r w:rsidRPr="0022226F">
        <w:rPr>
          <w:rStyle w:val="NormalCharacter"/>
          <w:color w:val="000000"/>
        </w:rPr>
        <w:t>、小黄鱼</w:t>
      </w:r>
      <w:r w:rsidRPr="0022226F">
        <w:rPr>
          <w:rStyle w:val="NormalCharacter"/>
          <w:color w:val="000000"/>
        </w:rPr>
        <w:t xml:space="preserve"> </w:t>
      </w:r>
      <w:proofErr w:type="spellStart"/>
      <w:r w:rsidRPr="0022226F">
        <w:rPr>
          <w:rStyle w:val="NormalCharacter"/>
          <w:i/>
          <w:color w:val="000000"/>
        </w:rPr>
        <w:t>Pseudosciaena</w:t>
      </w:r>
      <w:proofErr w:type="spellEnd"/>
      <w:r w:rsidRPr="0022226F">
        <w:rPr>
          <w:rStyle w:val="NormalCharacter"/>
          <w:i/>
          <w:color w:val="000000"/>
        </w:rPr>
        <w:t xml:space="preserve"> </w:t>
      </w:r>
      <w:proofErr w:type="spellStart"/>
      <w:r w:rsidRPr="0022226F">
        <w:rPr>
          <w:rStyle w:val="NormalCharacter"/>
          <w:i/>
          <w:color w:val="000000"/>
        </w:rPr>
        <w:t>polyactis</w:t>
      </w:r>
      <w:proofErr w:type="spellEnd"/>
      <w:r w:rsidRPr="0022226F">
        <w:rPr>
          <w:rStyle w:val="NormalCharacter"/>
          <w:i/>
          <w:color w:val="000000"/>
        </w:rPr>
        <w:t xml:space="preserve"> </w:t>
      </w:r>
      <w:r w:rsidRPr="0022226F">
        <w:rPr>
          <w:rStyle w:val="NormalCharacter"/>
          <w:color w:val="000000"/>
        </w:rPr>
        <w:t>Bleeker</w:t>
      </w:r>
      <w:r w:rsidRPr="0022226F">
        <w:rPr>
          <w:rStyle w:val="NormalCharacter"/>
          <w:color w:val="000000"/>
        </w:rPr>
        <w:t>或鲟科动物中华鲟</w:t>
      </w:r>
      <w:r w:rsidRPr="0022226F">
        <w:rPr>
          <w:rStyle w:val="NormalCharacter"/>
          <w:color w:val="000000"/>
        </w:rPr>
        <w:t xml:space="preserve"> </w:t>
      </w:r>
      <w:r w:rsidRPr="0022226F">
        <w:rPr>
          <w:rStyle w:val="NormalCharacter"/>
          <w:i/>
          <w:color w:val="000000"/>
        </w:rPr>
        <w:t xml:space="preserve">Acipenser sinensis </w:t>
      </w:r>
      <w:r w:rsidRPr="0022226F">
        <w:rPr>
          <w:rStyle w:val="NormalCharacter"/>
          <w:color w:val="000000"/>
        </w:rPr>
        <w:t>Gray</w:t>
      </w:r>
      <w:r w:rsidR="009A54D7" w:rsidRPr="0022226F">
        <w:rPr>
          <w:rStyle w:val="NormalCharacter"/>
          <w:color w:val="000000"/>
        </w:rPr>
        <w:t>（养殖）</w:t>
      </w:r>
      <w:r w:rsidRPr="0022226F">
        <w:rPr>
          <w:rStyle w:val="NormalCharacter"/>
          <w:color w:val="000000"/>
        </w:rPr>
        <w:t>、鳇鱼</w:t>
      </w:r>
      <w:r w:rsidRPr="0022226F">
        <w:rPr>
          <w:rStyle w:val="NormalCharacter"/>
          <w:color w:val="000000"/>
        </w:rPr>
        <w:t xml:space="preserve"> </w:t>
      </w:r>
      <w:r w:rsidRPr="0022226F">
        <w:rPr>
          <w:rStyle w:val="NormalCharacter"/>
          <w:i/>
          <w:color w:val="000000"/>
        </w:rPr>
        <w:t xml:space="preserve">Huso </w:t>
      </w:r>
      <w:proofErr w:type="spellStart"/>
      <w:r w:rsidRPr="0022226F">
        <w:rPr>
          <w:rStyle w:val="NormalCharacter"/>
          <w:i/>
          <w:color w:val="000000"/>
        </w:rPr>
        <w:t>dauricus</w:t>
      </w:r>
      <w:proofErr w:type="spellEnd"/>
      <w:r w:rsidRPr="0022226F">
        <w:rPr>
          <w:rStyle w:val="NormalCharacter"/>
          <w:i/>
          <w:color w:val="000000"/>
        </w:rPr>
        <w:t xml:space="preserve"> </w:t>
      </w:r>
      <w:r w:rsidRPr="0022226F">
        <w:rPr>
          <w:rStyle w:val="NormalCharacter"/>
          <w:color w:val="000000"/>
        </w:rPr>
        <w:t xml:space="preserve">(Georgi) </w:t>
      </w:r>
      <w:r w:rsidRPr="0022226F">
        <w:rPr>
          <w:rStyle w:val="NormalCharacter"/>
          <w:color w:val="000000"/>
        </w:rPr>
        <w:t>及其</w:t>
      </w:r>
      <w:proofErr w:type="gramStart"/>
      <w:r w:rsidRPr="0022226F">
        <w:rPr>
          <w:rStyle w:val="NormalCharacter"/>
          <w:color w:val="000000"/>
        </w:rPr>
        <w:t>他科除有毒</w:t>
      </w:r>
      <w:proofErr w:type="gramEnd"/>
      <w:r w:rsidRPr="0022226F">
        <w:rPr>
          <w:rStyle w:val="NormalCharacter"/>
        </w:rPr>
        <w:t>鱼种外各种鱼的鱼鳔。</w:t>
      </w:r>
      <w:r w:rsidRPr="0022226F">
        <w:rPr>
          <w:rStyle w:val="NormalCharacter"/>
          <w:color w:val="000000"/>
        </w:rPr>
        <w:t>全年均可捕捞，取得鱼鳔后，剖开，除去血管及粘膜，洗净，压扁，干燥。</w:t>
      </w:r>
    </w:p>
    <w:p w14:paraId="1F25D97D" w14:textId="7A1995DD" w:rsidR="008D47DF" w:rsidRDefault="00FA4F19" w:rsidP="008D47DF">
      <w:pPr>
        <w:spacing w:line="440" w:lineRule="exact"/>
        <w:ind w:firstLineChars="200" w:firstLine="420"/>
        <w:rPr>
          <w:rStyle w:val="NormalCharacter"/>
        </w:rPr>
      </w:pPr>
      <w:bookmarkStart w:id="0" w:name="_Hlk100743545"/>
      <w:r w:rsidRPr="0022226F">
        <w:rPr>
          <w:rStyle w:val="NormalCharacter"/>
        </w:rPr>
        <w:t>【</w:t>
      </w:r>
      <w:r w:rsidRPr="0022226F">
        <w:rPr>
          <w:rStyle w:val="NormalCharacter"/>
          <w:b/>
        </w:rPr>
        <w:t>性状</w:t>
      </w:r>
      <w:r w:rsidRPr="0022226F">
        <w:rPr>
          <w:rStyle w:val="NormalCharacter"/>
        </w:rPr>
        <w:t>】</w:t>
      </w:r>
      <w:bookmarkEnd w:id="0"/>
      <w:r w:rsidRPr="0022226F">
        <w:rPr>
          <w:rStyle w:val="NormalCharacter"/>
        </w:rPr>
        <w:t xml:space="preserve"> </w:t>
      </w:r>
      <w:r w:rsidRPr="0022226F">
        <w:rPr>
          <w:rStyle w:val="NormalCharacter"/>
        </w:rPr>
        <w:t>本品呈</w:t>
      </w:r>
      <w:r w:rsidR="00B86BDF" w:rsidRPr="0022226F">
        <w:rPr>
          <w:rStyle w:val="NormalCharacter"/>
        </w:rPr>
        <w:t>不规则块</w:t>
      </w:r>
      <w:r w:rsidR="00825DC9">
        <w:rPr>
          <w:rStyle w:val="NormalCharacter"/>
        </w:rPr>
        <w:t>状</w:t>
      </w:r>
      <w:r w:rsidR="009D28EF">
        <w:rPr>
          <w:rStyle w:val="NormalCharacter"/>
        </w:rPr>
        <w:t>、</w:t>
      </w:r>
      <w:r w:rsidR="00B86BDF" w:rsidRPr="0022226F">
        <w:rPr>
          <w:rStyle w:val="NormalCharacter"/>
        </w:rPr>
        <w:t>纺锤</w:t>
      </w:r>
      <w:r w:rsidRPr="0022226F">
        <w:rPr>
          <w:rStyle w:val="NormalCharacter"/>
        </w:rPr>
        <w:t>形筒状，黄白色、淡黄色或黄棕色，角质样，略有光泽，半透明。质坚韧，不易撕裂，裂断处呈纤维性，气微腥，味淡。</w:t>
      </w:r>
    </w:p>
    <w:p w14:paraId="53188298" w14:textId="34F043F9" w:rsidR="006C431C" w:rsidRDefault="00FA4F19" w:rsidP="008D47DF">
      <w:pPr>
        <w:spacing w:line="440" w:lineRule="exact"/>
        <w:ind w:firstLineChars="200" w:firstLine="420"/>
        <w:rPr>
          <w:rStyle w:val="NormalCharacter"/>
        </w:rPr>
      </w:pPr>
      <w:r w:rsidRPr="0022226F">
        <w:rPr>
          <w:rStyle w:val="NormalCharacter"/>
        </w:rPr>
        <w:t>【</w:t>
      </w:r>
      <w:r w:rsidRPr="0022226F">
        <w:rPr>
          <w:rStyle w:val="NormalCharacter"/>
          <w:b/>
        </w:rPr>
        <w:t>鉴别</w:t>
      </w:r>
      <w:r w:rsidRPr="0022226F">
        <w:rPr>
          <w:rStyle w:val="NormalCharacter"/>
        </w:rPr>
        <w:t>】</w:t>
      </w:r>
      <w:r w:rsidRPr="0022226F">
        <w:rPr>
          <w:rStyle w:val="NormalCharacter"/>
        </w:rPr>
        <w:t xml:space="preserve"> </w:t>
      </w:r>
      <w:r w:rsidRPr="0022226F">
        <w:rPr>
          <w:rStyle w:val="NormalCharacter"/>
        </w:rPr>
        <w:t>取本品粉末</w:t>
      </w:r>
      <w:r w:rsidRPr="0022226F">
        <w:rPr>
          <w:rStyle w:val="NormalCharacter"/>
        </w:rPr>
        <w:t>0.1g</w:t>
      </w:r>
      <w:r w:rsidRPr="0022226F">
        <w:rPr>
          <w:rStyle w:val="NormalCharacter"/>
        </w:rPr>
        <w:t>，加稀盐酸</w:t>
      </w:r>
      <w:r w:rsidRPr="0022226F">
        <w:rPr>
          <w:rStyle w:val="NormalCharacter"/>
        </w:rPr>
        <w:t>50ml</w:t>
      </w:r>
      <w:r w:rsidRPr="0022226F">
        <w:rPr>
          <w:rStyle w:val="NormalCharacter"/>
        </w:rPr>
        <w:t>，加热回流</w:t>
      </w:r>
      <w:r w:rsidRPr="0022226F">
        <w:rPr>
          <w:rStyle w:val="NormalCharacter"/>
        </w:rPr>
        <w:t>2</w:t>
      </w:r>
      <w:r w:rsidRPr="0022226F">
        <w:rPr>
          <w:rStyle w:val="NormalCharacter"/>
        </w:rPr>
        <w:t>小时，滤过，滤液蒸干，残渣加</w:t>
      </w:r>
      <w:r w:rsidRPr="0022226F">
        <w:rPr>
          <w:rStyle w:val="NormalCharacter"/>
        </w:rPr>
        <w:t>70</w:t>
      </w:r>
      <w:r w:rsidRPr="0022226F">
        <w:rPr>
          <w:rStyle w:val="NormalCharacter"/>
        </w:rPr>
        <w:t>％乙醇</w:t>
      </w:r>
      <w:r w:rsidRPr="0022226F">
        <w:rPr>
          <w:rStyle w:val="NormalCharacter"/>
        </w:rPr>
        <w:t>5ml</w:t>
      </w:r>
      <w:r w:rsidRPr="0022226F">
        <w:rPr>
          <w:rStyle w:val="NormalCharacter"/>
        </w:rPr>
        <w:t>使溶解，作为</w:t>
      </w:r>
      <w:proofErr w:type="gramStart"/>
      <w:r w:rsidRPr="0022226F">
        <w:rPr>
          <w:rStyle w:val="NormalCharacter"/>
        </w:rPr>
        <w:t>供试品溶液</w:t>
      </w:r>
      <w:proofErr w:type="gramEnd"/>
      <w:r w:rsidRPr="0022226F">
        <w:rPr>
          <w:rStyle w:val="NormalCharacter"/>
        </w:rPr>
        <w:t>。另取鱼鳔对照药材</w:t>
      </w:r>
      <w:r w:rsidRPr="0022226F">
        <w:rPr>
          <w:rStyle w:val="NormalCharacter"/>
        </w:rPr>
        <w:t>0.1g</w:t>
      </w:r>
      <w:r w:rsidRPr="0022226F">
        <w:rPr>
          <w:rStyle w:val="NormalCharacter"/>
        </w:rPr>
        <w:t>，同法制成对照药材溶液。再取精氨酸对照品，加</w:t>
      </w:r>
      <w:r w:rsidRPr="0022226F">
        <w:rPr>
          <w:rStyle w:val="NormalCharacter"/>
        </w:rPr>
        <w:t>70</w:t>
      </w:r>
      <w:r w:rsidRPr="0022226F">
        <w:rPr>
          <w:rStyle w:val="NormalCharacter"/>
        </w:rPr>
        <w:t>％乙醇制成每</w:t>
      </w:r>
      <w:r w:rsidRPr="0022226F">
        <w:rPr>
          <w:rStyle w:val="NormalCharacter"/>
        </w:rPr>
        <w:t xml:space="preserve">1ml </w:t>
      </w:r>
      <w:r w:rsidRPr="0022226F">
        <w:rPr>
          <w:rStyle w:val="NormalCharacter"/>
        </w:rPr>
        <w:t>含</w:t>
      </w:r>
      <w:r w:rsidRPr="0022226F">
        <w:rPr>
          <w:rStyle w:val="NormalCharacter"/>
        </w:rPr>
        <w:t xml:space="preserve">0.25mg </w:t>
      </w:r>
      <w:r w:rsidRPr="0022226F">
        <w:rPr>
          <w:rStyle w:val="NormalCharacter"/>
        </w:rPr>
        <w:t>的溶液，作为对照品溶液。照薄层色谱法</w:t>
      </w:r>
      <w:r w:rsidR="008D47DF">
        <w:rPr>
          <w:rStyle w:val="NormalCharacter"/>
          <w:rFonts w:hint="eastAsia"/>
        </w:rPr>
        <w:t>（</w:t>
      </w:r>
      <w:r w:rsidR="008D47DF" w:rsidRPr="0022226F">
        <w:rPr>
          <w:rStyle w:val="NormalCharacter"/>
        </w:rPr>
        <w:t>《</w:t>
      </w:r>
      <w:r w:rsidR="008D47DF" w:rsidRPr="0022226F">
        <w:rPr>
          <w:rStyle w:val="NormalCharacter"/>
          <w:color w:val="000000"/>
          <w:kern w:val="0"/>
        </w:rPr>
        <w:t>中国药典》</w:t>
      </w:r>
      <w:r w:rsidR="008D47DF" w:rsidRPr="0022226F">
        <w:rPr>
          <w:rStyle w:val="NormalCharacter"/>
        </w:rPr>
        <w:t>2020</w:t>
      </w:r>
      <w:r w:rsidR="008D47DF" w:rsidRPr="0022226F">
        <w:rPr>
          <w:rStyle w:val="NormalCharacter"/>
        </w:rPr>
        <w:t>年版四部通则</w:t>
      </w:r>
      <w:r w:rsidR="008D47DF" w:rsidRPr="0022226F">
        <w:rPr>
          <w:rStyle w:val="NormalCharacter"/>
        </w:rPr>
        <w:t>0502</w:t>
      </w:r>
      <w:r w:rsidRPr="0022226F">
        <w:rPr>
          <w:rStyle w:val="NormalCharacter"/>
        </w:rPr>
        <w:t>）试验，吸取上述</w:t>
      </w:r>
      <w:r w:rsidR="003201F0" w:rsidRPr="0022226F">
        <w:rPr>
          <w:rStyle w:val="NormalCharacter"/>
        </w:rPr>
        <w:t>两种</w:t>
      </w:r>
      <w:r w:rsidRPr="0022226F">
        <w:rPr>
          <w:rStyle w:val="NormalCharacter"/>
        </w:rPr>
        <w:t>溶液各</w:t>
      </w:r>
      <w:r w:rsidRPr="0022226F">
        <w:rPr>
          <w:rStyle w:val="NormalCharacter"/>
        </w:rPr>
        <w:t>1μl</w:t>
      </w:r>
      <w:r w:rsidRPr="0022226F">
        <w:rPr>
          <w:rStyle w:val="NormalCharacter"/>
        </w:rPr>
        <w:t>，分别点于同一硅胶Ｇ薄层板上，以正丁醇</w:t>
      </w:r>
      <w:r w:rsidRPr="0022226F">
        <w:rPr>
          <w:rStyle w:val="NormalCharacter"/>
        </w:rPr>
        <w:t>-</w:t>
      </w:r>
      <w:r w:rsidRPr="0022226F">
        <w:rPr>
          <w:rStyle w:val="NormalCharacter"/>
        </w:rPr>
        <w:t>冰醋酸</w:t>
      </w:r>
      <w:r w:rsidRPr="0022226F">
        <w:rPr>
          <w:rStyle w:val="NormalCharacter"/>
        </w:rPr>
        <w:t>-</w:t>
      </w:r>
      <w:r w:rsidRPr="0022226F">
        <w:rPr>
          <w:rStyle w:val="NormalCharacter"/>
        </w:rPr>
        <w:t>水</w:t>
      </w:r>
      <w:r w:rsidRPr="0022226F">
        <w:rPr>
          <w:rStyle w:val="NormalCharacter"/>
        </w:rPr>
        <w:t>(4:1:1)</w:t>
      </w:r>
      <w:r w:rsidRPr="0022226F">
        <w:rPr>
          <w:rStyle w:val="NormalCharacter"/>
        </w:rPr>
        <w:t>为展开剂，展开，取出，晾干，</w:t>
      </w:r>
      <w:proofErr w:type="gramStart"/>
      <w:r w:rsidRPr="0022226F">
        <w:rPr>
          <w:rStyle w:val="NormalCharacter"/>
        </w:rPr>
        <w:t>喷以</w:t>
      </w:r>
      <w:proofErr w:type="gramEnd"/>
      <w:r w:rsidRPr="0022226F">
        <w:rPr>
          <w:rStyle w:val="NormalCharacter"/>
        </w:rPr>
        <w:t>2</w:t>
      </w:r>
      <w:r w:rsidRPr="0022226F">
        <w:rPr>
          <w:rStyle w:val="NormalCharacter"/>
        </w:rPr>
        <w:t>％</w:t>
      </w:r>
      <w:r w:rsidRPr="0022226F">
        <w:rPr>
          <w:rStyle w:val="NormalCharacter"/>
        </w:rPr>
        <w:t xml:space="preserve"> </w:t>
      </w:r>
      <w:proofErr w:type="gramStart"/>
      <w:r w:rsidRPr="0022226F">
        <w:rPr>
          <w:rStyle w:val="NormalCharacter"/>
        </w:rPr>
        <w:t>茚</w:t>
      </w:r>
      <w:proofErr w:type="gramEnd"/>
      <w:r w:rsidRPr="0022226F">
        <w:rPr>
          <w:rStyle w:val="NormalCharacter"/>
        </w:rPr>
        <w:t>三酮丙酮溶液，在</w:t>
      </w:r>
      <w:r w:rsidRPr="0022226F">
        <w:rPr>
          <w:rStyle w:val="NormalCharacter"/>
        </w:rPr>
        <w:t>105℃</w:t>
      </w:r>
      <w:r w:rsidRPr="0022226F">
        <w:rPr>
          <w:rStyle w:val="NormalCharacter"/>
        </w:rPr>
        <w:t>加热至斑点显色清晰。供试品色谱中，在与对照药材色谱和对照品色</w:t>
      </w:r>
      <w:proofErr w:type="gramStart"/>
      <w:r w:rsidRPr="0022226F">
        <w:rPr>
          <w:rStyle w:val="NormalCharacter"/>
        </w:rPr>
        <w:t>谱相应</w:t>
      </w:r>
      <w:proofErr w:type="gramEnd"/>
      <w:r w:rsidRPr="0022226F">
        <w:rPr>
          <w:rStyle w:val="NormalCharacter"/>
        </w:rPr>
        <w:t>的位置上，显示相同颜色的斑点。</w:t>
      </w:r>
    </w:p>
    <w:p w14:paraId="6E56D4D6" w14:textId="77777777" w:rsidR="006C431C" w:rsidRDefault="00FA4F19" w:rsidP="008D47DF">
      <w:pPr>
        <w:spacing w:line="440" w:lineRule="exact"/>
        <w:ind w:firstLineChars="200" w:firstLine="420"/>
        <w:rPr>
          <w:rStyle w:val="NormalCharacter"/>
          <w:b/>
        </w:rPr>
      </w:pPr>
      <w:r w:rsidRPr="0022226F">
        <w:rPr>
          <w:rStyle w:val="NormalCharacter"/>
        </w:rPr>
        <w:t>【</w:t>
      </w:r>
      <w:r w:rsidRPr="0022226F">
        <w:rPr>
          <w:rStyle w:val="NormalCharacter"/>
          <w:b/>
        </w:rPr>
        <w:t>检查</w:t>
      </w:r>
      <w:r w:rsidRPr="0022226F">
        <w:rPr>
          <w:rStyle w:val="NormalCharacter"/>
        </w:rPr>
        <w:t>】</w:t>
      </w:r>
      <w:r w:rsidRPr="0022226F">
        <w:rPr>
          <w:rStyle w:val="NormalCharacter"/>
        </w:rPr>
        <w:t xml:space="preserve">  </w:t>
      </w:r>
      <w:r w:rsidRPr="0022226F">
        <w:rPr>
          <w:rStyle w:val="NormalCharacter"/>
          <w:b/>
        </w:rPr>
        <w:t>水分</w:t>
      </w:r>
      <w:r w:rsidRPr="0022226F">
        <w:rPr>
          <w:rStyle w:val="NormalCharacter"/>
          <w:b/>
        </w:rPr>
        <w:t xml:space="preserve">  </w:t>
      </w:r>
      <w:r w:rsidRPr="0022226F">
        <w:rPr>
          <w:rStyle w:val="NormalCharacter"/>
        </w:rPr>
        <w:t>不得过</w:t>
      </w:r>
      <w:r w:rsidRPr="0022226F">
        <w:rPr>
          <w:rStyle w:val="NormalCharacter"/>
        </w:rPr>
        <w:t>13.0%</w:t>
      </w:r>
      <w:r w:rsidRPr="0022226F">
        <w:rPr>
          <w:rStyle w:val="NormalCharacter"/>
        </w:rPr>
        <w:t>（《</w:t>
      </w:r>
      <w:r w:rsidRPr="0022226F">
        <w:rPr>
          <w:rStyle w:val="NormalCharacter"/>
          <w:color w:val="000000"/>
          <w:kern w:val="0"/>
        </w:rPr>
        <w:t>中国药典》</w:t>
      </w:r>
      <w:r w:rsidR="00BD3933" w:rsidRPr="0022226F">
        <w:rPr>
          <w:rStyle w:val="NormalCharacter"/>
        </w:rPr>
        <w:t>2020</w:t>
      </w:r>
      <w:r w:rsidR="00BD3933" w:rsidRPr="0022226F">
        <w:rPr>
          <w:rStyle w:val="NormalCharacter"/>
        </w:rPr>
        <w:t>年版</w:t>
      </w:r>
      <w:r w:rsidR="00AE4C10" w:rsidRPr="0022226F">
        <w:rPr>
          <w:rStyle w:val="NormalCharacter"/>
        </w:rPr>
        <w:t>四部通则</w:t>
      </w:r>
      <w:r w:rsidRPr="0022226F">
        <w:rPr>
          <w:rStyle w:val="NormalCharacter"/>
        </w:rPr>
        <w:t>0832</w:t>
      </w:r>
      <w:r w:rsidRPr="0022226F">
        <w:rPr>
          <w:rStyle w:val="NormalCharacter"/>
        </w:rPr>
        <w:t>第二法）。</w:t>
      </w:r>
    </w:p>
    <w:p w14:paraId="14300ADC" w14:textId="77777777" w:rsidR="006C431C" w:rsidRDefault="00FA4F19" w:rsidP="008D47DF">
      <w:pPr>
        <w:spacing w:line="440" w:lineRule="exact"/>
        <w:ind w:leftChars="261" w:left="548"/>
        <w:rPr>
          <w:rStyle w:val="NormalCharacter"/>
        </w:rPr>
      </w:pPr>
      <w:r w:rsidRPr="0022226F">
        <w:rPr>
          <w:rStyle w:val="NormalCharacter"/>
          <w:b/>
        </w:rPr>
        <w:t>总灰分</w:t>
      </w:r>
      <w:r w:rsidRPr="0022226F">
        <w:rPr>
          <w:rStyle w:val="NormalCharacter"/>
          <w:b/>
        </w:rPr>
        <w:t xml:space="preserve">  </w:t>
      </w:r>
      <w:r w:rsidRPr="0022226F">
        <w:rPr>
          <w:rStyle w:val="NormalCharacter"/>
        </w:rPr>
        <w:t>不得过</w:t>
      </w:r>
      <w:r w:rsidRPr="0022226F">
        <w:rPr>
          <w:rStyle w:val="NormalCharacter"/>
        </w:rPr>
        <w:t>4.0%</w:t>
      </w:r>
      <w:r w:rsidRPr="0022226F">
        <w:rPr>
          <w:rStyle w:val="NormalCharacter"/>
        </w:rPr>
        <w:t>（《</w:t>
      </w:r>
      <w:r w:rsidRPr="0022226F">
        <w:rPr>
          <w:rStyle w:val="NormalCharacter"/>
          <w:color w:val="000000"/>
          <w:kern w:val="0"/>
        </w:rPr>
        <w:t>中国药典》</w:t>
      </w:r>
      <w:r w:rsidR="00BD3933" w:rsidRPr="0022226F">
        <w:rPr>
          <w:rStyle w:val="NormalCharacter"/>
        </w:rPr>
        <w:t>2020</w:t>
      </w:r>
      <w:r w:rsidR="00BD3933" w:rsidRPr="0022226F">
        <w:rPr>
          <w:rStyle w:val="NormalCharacter"/>
        </w:rPr>
        <w:t>年版</w:t>
      </w:r>
      <w:r w:rsidR="00AE4C10" w:rsidRPr="0022226F">
        <w:rPr>
          <w:rStyle w:val="NormalCharacter"/>
        </w:rPr>
        <w:t>四部通则</w:t>
      </w:r>
      <w:r w:rsidRPr="0022226F">
        <w:rPr>
          <w:rStyle w:val="NormalCharacter"/>
        </w:rPr>
        <w:t>2302</w:t>
      </w:r>
      <w:r w:rsidRPr="0022226F">
        <w:rPr>
          <w:rStyle w:val="NormalCharacter"/>
        </w:rPr>
        <w:t>）。</w:t>
      </w:r>
    </w:p>
    <w:p w14:paraId="121D49CE" w14:textId="77777777" w:rsidR="006C431C" w:rsidRDefault="00FA4F19" w:rsidP="008D47DF">
      <w:pPr>
        <w:spacing w:line="440" w:lineRule="exact"/>
        <w:ind w:firstLineChars="227" w:firstLine="479"/>
        <w:rPr>
          <w:rStyle w:val="NormalCharacter"/>
          <w:b/>
        </w:rPr>
      </w:pPr>
      <w:r w:rsidRPr="0022226F">
        <w:rPr>
          <w:rStyle w:val="NormalCharacter"/>
          <w:b/>
        </w:rPr>
        <w:t>重金属及有害元素</w:t>
      </w:r>
      <w:r w:rsidRPr="0022226F">
        <w:rPr>
          <w:rStyle w:val="NormalCharacter"/>
          <w:b/>
        </w:rPr>
        <w:t xml:space="preserve">  </w:t>
      </w:r>
      <w:r w:rsidRPr="0022226F">
        <w:rPr>
          <w:rStyle w:val="NormalCharacter"/>
        </w:rPr>
        <w:t>照铅、镉、砷、汞、铜测定法（《</w:t>
      </w:r>
      <w:r w:rsidRPr="0022226F">
        <w:rPr>
          <w:rStyle w:val="NormalCharacter"/>
          <w:color w:val="000000"/>
          <w:kern w:val="0"/>
        </w:rPr>
        <w:t>中国药典》</w:t>
      </w:r>
      <w:r w:rsidR="00BD3933" w:rsidRPr="0022226F">
        <w:rPr>
          <w:rStyle w:val="NormalCharacter"/>
        </w:rPr>
        <w:t>2020</w:t>
      </w:r>
      <w:r w:rsidR="00BD3933" w:rsidRPr="0022226F">
        <w:rPr>
          <w:rStyle w:val="NormalCharacter"/>
        </w:rPr>
        <w:t>年版</w:t>
      </w:r>
      <w:r w:rsidR="00AE4C10" w:rsidRPr="0022226F">
        <w:rPr>
          <w:rStyle w:val="NormalCharacter"/>
        </w:rPr>
        <w:t>四部通则</w:t>
      </w:r>
      <w:r w:rsidRPr="0022226F">
        <w:rPr>
          <w:rStyle w:val="NormalCharacter"/>
        </w:rPr>
        <w:t>2321</w:t>
      </w:r>
      <w:r w:rsidRPr="0022226F">
        <w:rPr>
          <w:rStyle w:val="NormalCharacter"/>
        </w:rPr>
        <w:t>原子吸收分光光度法或电感耦合等离子体质谱法）测定，</w:t>
      </w:r>
      <w:proofErr w:type="gramStart"/>
      <w:r w:rsidRPr="0022226F">
        <w:rPr>
          <w:rStyle w:val="NormalCharacter"/>
        </w:rPr>
        <w:t>铅不得</w:t>
      </w:r>
      <w:proofErr w:type="gramEnd"/>
      <w:r w:rsidRPr="0022226F">
        <w:rPr>
          <w:rStyle w:val="NormalCharacter"/>
        </w:rPr>
        <w:t>过</w:t>
      </w:r>
      <w:r w:rsidR="00BD3933" w:rsidRPr="0022226F">
        <w:rPr>
          <w:rStyle w:val="NormalCharacter"/>
        </w:rPr>
        <w:t>5</w:t>
      </w:r>
      <w:r w:rsidRPr="0022226F">
        <w:rPr>
          <w:rStyle w:val="NormalCharacter"/>
        </w:rPr>
        <w:t>mg/kg</w:t>
      </w:r>
      <w:r w:rsidRPr="0022226F">
        <w:rPr>
          <w:rStyle w:val="NormalCharacter"/>
        </w:rPr>
        <w:t>；</w:t>
      </w:r>
      <w:proofErr w:type="gramStart"/>
      <w:r w:rsidRPr="0022226F">
        <w:rPr>
          <w:rStyle w:val="NormalCharacter"/>
          <w:color w:val="000000"/>
        </w:rPr>
        <w:t>镉</w:t>
      </w:r>
      <w:proofErr w:type="gramEnd"/>
      <w:r w:rsidRPr="0022226F">
        <w:rPr>
          <w:rStyle w:val="NormalCharacter"/>
          <w:color w:val="000000"/>
        </w:rPr>
        <w:t>不得过</w:t>
      </w:r>
      <w:r w:rsidR="00BD3933" w:rsidRPr="0022226F">
        <w:rPr>
          <w:rStyle w:val="NormalCharacter"/>
          <w:color w:val="000000"/>
        </w:rPr>
        <w:t>1</w:t>
      </w:r>
      <w:r w:rsidRPr="0022226F">
        <w:rPr>
          <w:rStyle w:val="NormalCharacter"/>
        </w:rPr>
        <w:t>mg/kg</w:t>
      </w:r>
      <w:r w:rsidRPr="0022226F">
        <w:rPr>
          <w:rStyle w:val="NormalCharacter"/>
          <w:color w:val="000000"/>
        </w:rPr>
        <w:t>；</w:t>
      </w:r>
      <w:proofErr w:type="gramStart"/>
      <w:r w:rsidRPr="0022226F">
        <w:rPr>
          <w:rStyle w:val="NormalCharacter"/>
        </w:rPr>
        <w:t>砷</w:t>
      </w:r>
      <w:proofErr w:type="gramEnd"/>
      <w:r w:rsidRPr="0022226F">
        <w:rPr>
          <w:rStyle w:val="NormalCharacter"/>
        </w:rPr>
        <w:t>不得过</w:t>
      </w:r>
      <w:r w:rsidRPr="0022226F">
        <w:rPr>
          <w:rStyle w:val="NormalCharacter"/>
        </w:rPr>
        <w:t>20mg/kg</w:t>
      </w:r>
      <w:r w:rsidRPr="0022226F">
        <w:rPr>
          <w:rStyle w:val="NormalCharacter"/>
        </w:rPr>
        <w:t>；</w:t>
      </w:r>
      <w:proofErr w:type="gramStart"/>
      <w:r w:rsidRPr="0022226F">
        <w:rPr>
          <w:rStyle w:val="NormalCharacter"/>
        </w:rPr>
        <w:t>汞不得</w:t>
      </w:r>
      <w:proofErr w:type="gramEnd"/>
      <w:r w:rsidRPr="0022226F">
        <w:rPr>
          <w:rStyle w:val="NormalCharacter"/>
        </w:rPr>
        <w:t>过</w:t>
      </w:r>
      <w:r w:rsidRPr="0022226F">
        <w:rPr>
          <w:rStyle w:val="NormalCharacter"/>
        </w:rPr>
        <w:t>0.65mg/kg</w:t>
      </w:r>
      <w:r w:rsidRPr="0022226F">
        <w:rPr>
          <w:rStyle w:val="NormalCharacter"/>
        </w:rPr>
        <w:t>、</w:t>
      </w:r>
      <w:proofErr w:type="gramStart"/>
      <w:r w:rsidRPr="0022226F">
        <w:rPr>
          <w:rStyle w:val="NormalCharacter"/>
        </w:rPr>
        <w:t>铜不得</w:t>
      </w:r>
      <w:proofErr w:type="gramEnd"/>
      <w:r w:rsidRPr="0022226F">
        <w:rPr>
          <w:rStyle w:val="NormalCharacter"/>
        </w:rPr>
        <w:t>过</w:t>
      </w:r>
      <w:r w:rsidRPr="0022226F">
        <w:rPr>
          <w:rStyle w:val="NormalCharacter"/>
        </w:rPr>
        <w:t>20mg/kg</w:t>
      </w:r>
      <w:r w:rsidRPr="0022226F">
        <w:rPr>
          <w:rStyle w:val="NormalCharacter"/>
        </w:rPr>
        <w:t>。</w:t>
      </w:r>
    </w:p>
    <w:p w14:paraId="08A519F0" w14:textId="53E2AB67" w:rsidR="006C431C" w:rsidRDefault="00FA4F19" w:rsidP="008D47DF">
      <w:pPr>
        <w:spacing w:line="440" w:lineRule="exact"/>
        <w:ind w:firstLineChars="200" w:firstLine="420"/>
        <w:rPr>
          <w:rStyle w:val="NormalCharacter"/>
        </w:rPr>
      </w:pPr>
      <w:bookmarkStart w:id="1" w:name="_Hlk100743582"/>
      <w:r w:rsidRPr="0022226F">
        <w:rPr>
          <w:rStyle w:val="NormalCharacter"/>
        </w:rPr>
        <w:t>【</w:t>
      </w:r>
      <w:r w:rsidRPr="0022226F">
        <w:rPr>
          <w:rStyle w:val="NormalCharacter"/>
          <w:b/>
        </w:rPr>
        <w:t>含量测定</w:t>
      </w:r>
      <w:r w:rsidRPr="0022226F">
        <w:rPr>
          <w:rStyle w:val="NormalCharacter"/>
        </w:rPr>
        <w:t>】</w:t>
      </w:r>
      <w:bookmarkEnd w:id="1"/>
      <w:r w:rsidRPr="0022226F">
        <w:rPr>
          <w:rStyle w:val="NormalCharacter"/>
        </w:rPr>
        <w:t xml:space="preserve">  </w:t>
      </w:r>
      <w:r w:rsidRPr="0022226F">
        <w:rPr>
          <w:rStyle w:val="NormalCharacter"/>
          <w:b/>
        </w:rPr>
        <w:t>总氮量</w:t>
      </w:r>
      <w:r w:rsidRPr="0022226F">
        <w:rPr>
          <w:rStyle w:val="NormalCharacter"/>
        </w:rPr>
        <w:t xml:space="preserve">  </w:t>
      </w:r>
      <w:proofErr w:type="gramStart"/>
      <w:r w:rsidRPr="0022226F">
        <w:rPr>
          <w:rStyle w:val="NormalCharacter"/>
        </w:rPr>
        <w:t>照氮测定</w:t>
      </w:r>
      <w:proofErr w:type="gramEnd"/>
      <w:r w:rsidRPr="0022226F">
        <w:rPr>
          <w:rStyle w:val="NormalCharacter"/>
        </w:rPr>
        <w:t>法</w:t>
      </w:r>
      <w:r w:rsidR="008D47DF">
        <w:rPr>
          <w:rStyle w:val="NormalCharacter"/>
          <w:rFonts w:hint="eastAsia"/>
        </w:rPr>
        <w:t>（</w:t>
      </w:r>
      <w:r w:rsidR="008D47DF" w:rsidRPr="0022226F">
        <w:rPr>
          <w:rStyle w:val="NormalCharacter"/>
        </w:rPr>
        <w:t>《</w:t>
      </w:r>
      <w:r w:rsidR="008D47DF" w:rsidRPr="0022226F">
        <w:rPr>
          <w:rStyle w:val="NormalCharacter"/>
          <w:color w:val="000000"/>
          <w:kern w:val="0"/>
        </w:rPr>
        <w:t>中国药典》</w:t>
      </w:r>
      <w:r w:rsidR="008D47DF" w:rsidRPr="0022226F">
        <w:rPr>
          <w:rStyle w:val="NormalCharacter"/>
        </w:rPr>
        <w:t>2020</w:t>
      </w:r>
      <w:r w:rsidR="008D47DF" w:rsidRPr="0022226F">
        <w:rPr>
          <w:rStyle w:val="NormalCharacter"/>
        </w:rPr>
        <w:t>年版四部通则</w:t>
      </w:r>
      <w:r w:rsidR="008D47DF" w:rsidRPr="0022226F">
        <w:rPr>
          <w:rStyle w:val="NormalCharacter"/>
        </w:rPr>
        <w:t>0704</w:t>
      </w:r>
      <w:r w:rsidR="008D47DF" w:rsidRPr="0022226F">
        <w:rPr>
          <w:rStyle w:val="NormalCharacter"/>
        </w:rPr>
        <w:t>第一法</w:t>
      </w:r>
      <w:r w:rsidR="008D47DF">
        <w:rPr>
          <w:rStyle w:val="NormalCharacter"/>
          <w:rFonts w:hint="eastAsia"/>
        </w:rPr>
        <w:t>）</w:t>
      </w:r>
      <w:r w:rsidRPr="0022226F">
        <w:rPr>
          <w:rStyle w:val="NormalCharacter"/>
        </w:rPr>
        <w:t>测定。</w:t>
      </w:r>
    </w:p>
    <w:p w14:paraId="40E0C535" w14:textId="0BDFCBB0" w:rsidR="006C431C" w:rsidRDefault="00FA4F19" w:rsidP="008D47DF">
      <w:pPr>
        <w:spacing w:line="440" w:lineRule="exact"/>
        <w:ind w:firstLineChars="200" w:firstLine="420"/>
        <w:rPr>
          <w:rStyle w:val="NormalCharacter"/>
        </w:rPr>
      </w:pPr>
      <w:r w:rsidRPr="0022226F">
        <w:rPr>
          <w:rStyle w:val="NormalCharacter"/>
        </w:rPr>
        <w:t>本品按干燥品计算，含总氮不得少于</w:t>
      </w:r>
      <w:r w:rsidRPr="0022226F">
        <w:rPr>
          <w:rStyle w:val="NormalCharacter"/>
        </w:rPr>
        <w:t>13.0%</w:t>
      </w:r>
      <w:r w:rsidRPr="0022226F">
        <w:rPr>
          <w:rStyle w:val="NormalCharacter"/>
        </w:rPr>
        <w:t>。</w:t>
      </w:r>
    </w:p>
    <w:p w14:paraId="2395E140" w14:textId="47EF2493" w:rsidR="000F1F8B" w:rsidRPr="000F1F8B" w:rsidRDefault="000F1F8B" w:rsidP="008D47DF">
      <w:pPr>
        <w:spacing w:line="440" w:lineRule="exact"/>
        <w:ind w:firstLineChars="200" w:firstLine="562"/>
        <w:rPr>
          <w:rStyle w:val="NormalCharacter"/>
          <w:rFonts w:hint="eastAsia"/>
          <w:b/>
          <w:bCs/>
          <w:sz w:val="28"/>
          <w:szCs w:val="28"/>
        </w:rPr>
      </w:pPr>
      <w:r w:rsidRPr="000F1F8B">
        <w:rPr>
          <w:rStyle w:val="NormalCharacter"/>
          <w:rFonts w:hint="eastAsia"/>
          <w:b/>
          <w:bCs/>
          <w:sz w:val="28"/>
          <w:szCs w:val="28"/>
        </w:rPr>
        <w:t>饮片</w:t>
      </w:r>
    </w:p>
    <w:p w14:paraId="09FA64DD" w14:textId="156730FF" w:rsidR="006C431C" w:rsidRDefault="00FA4F19" w:rsidP="008D47DF">
      <w:pPr>
        <w:spacing w:line="440" w:lineRule="exact"/>
        <w:ind w:firstLineChars="200" w:firstLine="420"/>
        <w:rPr>
          <w:rStyle w:val="NormalCharacter"/>
          <w:color w:val="000000"/>
          <w:kern w:val="0"/>
        </w:rPr>
      </w:pPr>
      <w:r w:rsidRPr="0022226F">
        <w:rPr>
          <w:rStyle w:val="NormalCharacter"/>
        </w:rPr>
        <w:t>【</w:t>
      </w:r>
      <w:r w:rsidRPr="0022226F">
        <w:rPr>
          <w:rStyle w:val="NormalCharacter"/>
          <w:b/>
        </w:rPr>
        <w:t>炮制</w:t>
      </w:r>
      <w:r w:rsidRPr="0022226F">
        <w:rPr>
          <w:rStyle w:val="NormalCharacter"/>
        </w:rPr>
        <w:t>】</w:t>
      </w:r>
      <w:r w:rsidRPr="0022226F">
        <w:rPr>
          <w:rStyle w:val="NormalCharacter"/>
        </w:rPr>
        <w:t xml:space="preserve">  </w:t>
      </w:r>
      <w:r w:rsidRPr="0022226F">
        <w:rPr>
          <w:rStyle w:val="NormalCharacter"/>
          <w:b/>
          <w:color w:val="000000"/>
          <w:kern w:val="0"/>
        </w:rPr>
        <w:t>鱼鳔</w:t>
      </w:r>
      <w:r w:rsidRPr="0022226F">
        <w:rPr>
          <w:rStyle w:val="NormalCharacter"/>
          <w:color w:val="000000"/>
          <w:kern w:val="0"/>
        </w:rPr>
        <w:t xml:space="preserve">  </w:t>
      </w:r>
      <w:r w:rsidRPr="0022226F">
        <w:rPr>
          <w:rStyle w:val="NormalCharacter"/>
          <w:color w:val="000000"/>
          <w:kern w:val="0"/>
        </w:rPr>
        <w:t>除去杂质，烘软，切段</w:t>
      </w:r>
      <w:r w:rsidR="00D07249" w:rsidRPr="0022226F">
        <w:rPr>
          <w:rStyle w:val="NormalCharacter"/>
          <w:color w:val="000000"/>
          <w:kern w:val="0"/>
        </w:rPr>
        <w:t>或块</w:t>
      </w:r>
      <w:r w:rsidR="00944348" w:rsidRPr="0022226F">
        <w:rPr>
          <w:rStyle w:val="NormalCharacter"/>
          <w:color w:val="000000"/>
          <w:kern w:val="0"/>
        </w:rPr>
        <w:t>，</w:t>
      </w:r>
      <w:r w:rsidRPr="0022226F">
        <w:rPr>
          <w:rStyle w:val="NormalCharacter"/>
          <w:color w:val="000000"/>
          <w:kern w:val="0"/>
        </w:rPr>
        <w:t>晾干。</w:t>
      </w:r>
    </w:p>
    <w:p w14:paraId="65FC2742" w14:textId="77777777" w:rsidR="006C431C" w:rsidRDefault="00FA4F19" w:rsidP="008D47DF">
      <w:pPr>
        <w:spacing w:line="440" w:lineRule="exact"/>
        <w:ind w:firstLineChars="200" w:firstLine="422"/>
        <w:rPr>
          <w:rStyle w:val="NormalCharacter"/>
          <w:color w:val="000000"/>
          <w:kern w:val="0"/>
        </w:rPr>
      </w:pPr>
      <w:r w:rsidRPr="0022226F">
        <w:rPr>
          <w:rStyle w:val="NormalCharacter"/>
          <w:b/>
          <w:kern w:val="0"/>
        </w:rPr>
        <w:t>烫鱼鳔</w:t>
      </w:r>
      <w:r w:rsidRPr="0022226F">
        <w:rPr>
          <w:rStyle w:val="NormalCharacter"/>
          <w:color w:val="000000"/>
          <w:kern w:val="0"/>
        </w:rPr>
        <w:t xml:space="preserve">  </w:t>
      </w:r>
      <w:r w:rsidR="00D07249" w:rsidRPr="0022226F">
        <w:rPr>
          <w:rStyle w:val="NormalCharacter"/>
          <w:color w:val="000000"/>
          <w:kern w:val="0"/>
        </w:rPr>
        <w:t>取净鱼鳔段或块，</w:t>
      </w:r>
      <w:r w:rsidR="005E649F" w:rsidRPr="0022226F">
        <w:rPr>
          <w:rStyle w:val="NormalCharacter"/>
          <w:color w:val="000000"/>
          <w:kern w:val="0"/>
        </w:rPr>
        <w:t>照炒法（《中国药典》</w:t>
      </w:r>
      <w:r w:rsidR="005E649F" w:rsidRPr="0022226F">
        <w:rPr>
          <w:rStyle w:val="NormalCharacter"/>
          <w:color w:val="000000"/>
          <w:kern w:val="0"/>
        </w:rPr>
        <w:t>2020</w:t>
      </w:r>
      <w:r w:rsidR="005E649F" w:rsidRPr="0022226F">
        <w:rPr>
          <w:rStyle w:val="NormalCharacter"/>
          <w:color w:val="000000"/>
          <w:kern w:val="0"/>
        </w:rPr>
        <w:t>年版</w:t>
      </w:r>
      <w:r w:rsidR="00AE4C10" w:rsidRPr="0022226F">
        <w:rPr>
          <w:rStyle w:val="NormalCharacter"/>
          <w:color w:val="000000"/>
          <w:kern w:val="0"/>
        </w:rPr>
        <w:t>四部</w:t>
      </w:r>
      <w:r w:rsidR="005E649F" w:rsidRPr="0022226F">
        <w:rPr>
          <w:rStyle w:val="NormalCharacter"/>
          <w:color w:val="000000"/>
          <w:kern w:val="0"/>
        </w:rPr>
        <w:t>通则</w:t>
      </w:r>
      <w:r w:rsidR="005E649F" w:rsidRPr="0022226F">
        <w:rPr>
          <w:rStyle w:val="NormalCharacter"/>
          <w:color w:val="000000"/>
          <w:kern w:val="0"/>
        </w:rPr>
        <w:t>0213</w:t>
      </w:r>
      <w:r w:rsidR="005E649F" w:rsidRPr="0022226F">
        <w:rPr>
          <w:rStyle w:val="NormalCharacter"/>
          <w:color w:val="000000"/>
          <w:kern w:val="0"/>
        </w:rPr>
        <w:t>）用</w:t>
      </w:r>
      <w:proofErr w:type="gramStart"/>
      <w:r w:rsidR="005E649F" w:rsidRPr="0022226F">
        <w:rPr>
          <w:rStyle w:val="NormalCharacter"/>
          <w:color w:val="000000"/>
          <w:kern w:val="0"/>
        </w:rPr>
        <w:t>蛤</w:t>
      </w:r>
      <w:proofErr w:type="gramEnd"/>
      <w:r w:rsidR="005E649F" w:rsidRPr="0022226F">
        <w:rPr>
          <w:rStyle w:val="NormalCharacter"/>
          <w:color w:val="000000"/>
          <w:kern w:val="0"/>
        </w:rPr>
        <w:t>粉或滑石粉炒至形体鼓起松泡，呈黄色时，筛去</w:t>
      </w:r>
      <w:proofErr w:type="gramStart"/>
      <w:r w:rsidR="005E649F" w:rsidRPr="0022226F">
        <w:rPr>
          <w:rStyle w:val="NormalCharacter"/>
          <w:color w:val="000000"/>
          <w:kern w:val="0"/>
        </w:rPr>
        <w:t>蛤</w:t>
      </w:r>
      <w:proofErr w:type="gramEnd"/>
      <w:r w:rsidR="005E649F" w:rsidRPr="0022226F">
        <w:rPr>
          <w:rStyle w:val="NormalCharacter"/>
          <w:color w:val="000000"/>
          <w:kern w:val="0"/>
        </w:rPr>
        <w:t>粉或滑石粉，放凉。</w:t>
      </w:r>
    </w:p>
    <w:p w14:paraId="157AF8EE" w14:textId="77777777" w:rsidR="006C431C" w:rsidRDefault="00FA4F19" w:rsidP="008D47DF">
      <w:pPr>
        <w:spacing w:line="440" w:lineRule="exact"/>
        <w:ind w:firstLineChars="200" w:firstLine="420"/>
        <w:rPr>
          <w:rStyle w:val="NormalCharacter"/>
        </w:rPr>
      </w:pPr>
      <w:r w:rsidRPr="0022226F">
        <w:rPr>
          <w:rStyle w:val="NormalCharacter"/>
        </w:rPr>
        <w:t>【</w:t>
      </w:r>
      <w:r w:rsidRPr="0022226F">
        <w:rPr>
          <w:rStyle w:val="NormalCharacter"/>
          <w:b/>
        </w:rPr>
        <w:t>性味与归经</w:t>
      </w:r>
      <w:r w:rsidRPr="0022226F">
        <w:rPr>
          <w:rStyle w:val="NormalCharacter"/>
        </w:rPr>
        <w:t>】</w:t>
      </w:r>
      <w:r w:rsidRPr="0022226F">
        <w:rPr>
          <w:rStyle w:val="NormalCharacter"/>
        </w:rPr>
        <w:t xml:space="preserve">  </w:t>
      </w:r>
      <w:r w:rsidRPr="0022226F">
        <w:rPr>
          <w:rStyle w:val="NormalCharacter"/>
        </w:rPr>
        <w:t>甘，平。归肾经。</w:t>
      </w:r>
    </w:p>
    <w:p w14:paraId="29AC6FCB" w14:textId="77777777" w:rsidR="006C431C" w:rsidRDefault="00FA4F19" w:rsidP="008D47DF">
      <w:pPr>
        <w:spacing w:line="440" w:lineRule="exact"/>
        <w:ind w:firstLineChars="200" w:firstLine="420"/>
        <w:rPr>
          <w:rStyle w:val="NormalCharacter"/>
        </w:rPr>
      </w:pPr>
      <w:r w:rsidRPr="0022226F">
        <w:rPr>
          <w:rStyle w:val="NormalCharacter"/>
        </w:rPr>
        <w:lastRenderedPageBreak/>
        <w:t>【</w:t>
      </w:r>
      <w:r w:rsidRPr="0022226F">
        <w:rPr>
          <w:rStyle w:val="NormalCharacter"/>
          <w:b/>
        </w:rPr>
        <w:t>功能与主治</w:t>
      </w:r>
      <w:r w:rsidRPr="0022226F">
        <w:rPr>
          <w:rStyle w:val="NormalCharacter"/>
        </w:rPr>
        <w:t>】</w:t>
      </w:r>
      <w:r w:rsidRPr="0022226F">
        <w:rPr>
          <w:rStyle w:val="NormalCharacter"/>
        </w:rPr>
        <w:t xml:space="preserve">  </w:t>
      </w:r>
      <w:r w:rsidRPr="0022226F">
        <w:rPr>
          <w:rStyle w:val="NormalCharacter"/>
          <w:kern w:val="0"/>
        </w:rPr>
        <w:t>补肾固精，滋养筋脉，止血，散</w:t>
      </w:r>
      <w:proofErr w:type="gramStart"/>
      <w:r w:rsidRPr="0022226F">
        <w:rPr>
          <w:rStyle w:val="NormalCharacter"/>
          <w:kern w:val="0"/>
        </w:rPr>
        <w:t>瘀</w:t>
      </w:r>
      <w:proofErr w:type="gramEnd"/>
      <w:r w:rsidRPr="0022226F">
        <w:rPr>
          <w:rStyle w:val="NormalCharacter"/>
          <w:kern w:val="0"/>
        </w:rPr>
        <w:t>，消肿。用于肾虚滑精，产后风</w:t>
      </w:r>
      <w:proofErr w:type="gramStart"/>
      <w:r w:rsidRPr="0022226F">
        <w:rPr>
          <w:rStyle w:val="NormalCharacter"/>
          <w:kern w:val="0"/>
        </w:rPr>
        <w:t>痉</w:t>
      </w:r>
      <w:proofErr w:type="gramEnd"/>
      <w:r w:rsidRPr="0022226F">
        <w:rPr>
          <w:rStyle w:val="NormalCharacter"/>
          <w:kern w:val="0"/>
        </w:rPr>
        <w:t>，破伤风，吐血，血崩，创伤出血，痔疮。</w:t>
      </w:r>
    </w:p>
    <w:p w14:paraId="57499477" w14:textId="77777777" w:rsidR="006C431C" w:rsidRDefault="00FA4F19" w:rsidP="008D47DF">
      <w:pPr>
        <w:spacing w:line="440" w:lineRule="exact"/>
        <w:ind w:firstLineChars="200" w:firstLine="420"/>
        <w:rPr>
          <w:rStyle w:val="NormalCharacter"/>
        </w:rPr>
      </w:pPr>
      <w:r w:rsidRPr="0022226F">
        <w:rPr>
          <w:rStyle w:val="NormalCharacter"/>
        </w:rPr>
        <w:t>【</w:t>
      </w:r>
      <w:r w:rsidRPr="0022226F">
        <w:rPr>
          <w:rStyle w:val="NormalCharacter"/>
          <w:b/>
        </w:rPr>
        <w:t>用法与用量</w:t>
      </w:r>
      <w:r w:rsidRPr="0022226F">
        <w:rPr>
          <w:rStyle w:val="NormalCharacter"/>
        </w:rPr>
        <w:t>】</w:t>
      </w:r>
      <w:r w:rsidRPr="0022226F">
        <w:rPr>
          <w:rStyle w:val="NormalCharacter"/>
        </w:rPr>
        <w:t xml:space="preserve">  </w:t>
      </w:r>
      <w:r w:rsidRPr="0022226F">
        <w:rPr>
          <w:rStyle w:val="NormalCharacter"/>
          <w:kern w:val="0"/>
        </w:rPr>
        <w:t>内服：煎汤，</w:t>
      </w:r>
      <w:r w:rsidRPr="0022226F">
        <w:rPr>
          <w:rStyle w:val="NormalCharacter"/>
          <w:kern w:val="0"/>
        </w:rPr>
        <w:t>10</w:t>
      </w:r>
      <w:r w:rsidRPr="0022226F">
        <w:rPr>
          <w:rStyle w:val="NormalCharacter"/>
          <w:kern w:val="0"/>
        </w:rPr>
        <w:t>～</w:t>
      </w:r>
      <w:r w:rsidRPr="0022226F">
        <w:rPr>
          <w:rStyle w:val="NormalCharacter"/>
          <w:kern w:val="0"/>
        </w:rPr>
        <w:t>30g</w:t>
      </w:r>
      <w:r w:rsidRPr="0022226F">
        <w:rPr>
          <w:rStyle w:val="NormalCharacter"/>
          <w:kern w:val="0"/>
        </w:rPr>
        <w:t>；研末，</w:t>
      </w:r>
      <w:r w:rsidRPr="0022226F">
        <w:rPr>
          <w:rStyle w:val="NormalCharacter"/>
          <w:kern w:val="0"/>
        </w:rPr>
        <w:t>3</w:t>
      </w:r>
      <w:r w:rsidRPr="0022226F">
        <w:rPr>
          <w:rStyle w:val="NormalCharacter"/>
          <w:kern w:val="0"/>
        </w:rPr>
        <w:t>～</w:t>
      </w:r>
      <w:r w:rsidRPr="0022226F">
        <w:rPr>
          <w:rStyle w:val="NormalCharacter"/>
          <w:kern w:val="0"/>
        </w:rPr>
        <w:t>6g</w:t>
      </w:r>
      <w:r w:rsidRPr="0022226F">
        <w:rPr>
          <w:rStyle w:val="NormalCharacter"/>
          <w:kern w:val="0"/>
        </w:rPr>
        <w:t>。外用适量，溶化或烧灰涂敷。</w:t>
      </w:r>
    </w:p>
    <w:p w14:paraId="3CD16B47" w14:textId="77777777" w:rsidR="006C431C" w:rsidRDefault="00FA4F19" w:rsidP="008D47DF">
      <w:pPr>
        <w:spacing w:line="440" w:lineRule="exact"/>
        <w:ind w:firstLineChars="200" w:firstLine="420"/>
        <w:rPr>
          <w:rStyle w:val="NormalCharacter"/>
        </w:rPr>
      </w:pPr>
      <w:r w:rsidRPr="0022226F">
        <w:rPr>
          <w:rStyle w:val="NormalCharacter"/>
        </w:rPr>
        <w:t>【</w:t>
      </w:r>
      <w:r w:rsidRPr="0022226F">
        <w:rPr>
          <w:rStyle w:val="NormalCharacter"/>
          <w:b/>
        </w:rPr>
        <w:t>贮藏</w:t>
      </w:r>
      <w:r w:rsidRPr="0022226F">
        <w:rPr>
          <w:rStyle w:val="NormalCharacter"/>
        </w:rPr>
        <w:t>】</w:t>
      </w:r>
      <w:r w:rsidRPr="0022226F">
        <w:rPr>
          <w:rStyle w:val="NormalCharacter"/>
        </w:rPr>
        <w:t xml:space="preserve">  </w:t>
      </w:r>
      <w:r w:rsidRPr="0022226F">
        <w:rPr>
          <w:rStyle w:val="NormalCharacter"/>
        </w:rPr>
        <w:t>置干燥处，防蛀。</w:t>
      </w:r>
    </w:p>
    <w:p w14:paraId="490D58A9" w14:textId="77777777" w:rsidR="006C431C" w:rsidRDefault="006C431C">
      <w:pPr>
        <w:spacing w:line="500" w:lineRule="exact"/>
        <w:rPr>
          <w:rStyle w:val="NormalCharacter"/>
          <w:sz w:val="24"/>
        </w:rPr>
      </w:pPr>
    </w:p>
    <w:sectPr w:rsidR="006C431C">
      <w:pgSz w:w="11906" w:h="16838"/>
      <w:pgMar w:top="1701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31C"/>
    <w:rsid w:val="000F1F8B"/>
    <w:rsid w:val="001E3AB3"/>
    <w:rsid w:val="0022226F"/>
    <w:rsid w:val="003201F0"/>
    <w:rsid w:val="00587412"/>
    <w:rsid w:val="005E649F"/>
    <w:rsid w:val="006C431C"/>
    <w:rsid w:val="006F03A9"/>
    <w:rsid w:val="00760F29"/>
    <w:rsid w:val="007D15C9"/>
    <w:rsid w:val="00825DC9"/>
    <w:rsid w:val="00897F5B"/>
    <w:rsid w:val="008D47DF"/>
    <w:rsid w:val="00944348"/>
    <w:rsid w:val="009A54D7"/>
    <w:rsid w:val="009D28EF"/>
    <w:rsid w:val="00AE4C10"/>
    <w:rsid w:val="00B86BDF"/>
    <w:rsid w:val="00BD3933"/>
    <w:rsid w:val="00D07249"/>
    <w:rsid w:val="00F32146"/>
    <w:rsid w:val="00FA4F19"/>
    <w:rsid w:val="00F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F5DE"/>
  <w15:docId w15:val="{E4E6436C-6CAB-43B9-8DF1-7DB2D032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styleId="a3">
    <w:name w:val="Emphasis"/>
    <w:basedOn w:val="NormalCharacter"/>
    <w:rPr>
      <w:i w:val="0"/>
      <w:iCs w:val="0"/>
      <w:color w:val="CC0000"/>
    </w:rPr>
  </w:style>
  <w:style w:type="paragraph" w:customStyle="1" w:styleId="Acetate">
    <w:name w:val="Acetate"/>
    <w:basedOn w:val="a"/>
    <w:semiHidden/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UserStyle0">
    <w:name w:val="UserStyle_0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tblPr/>
  </w:style>
  <w:style w:type="character" w:customStyle="1" w:styleId="AnnotationReference">
    <w:name w:val="AnnotationReference"/>
    <w:basedOn w:val="NormalCharacter"/>
    <w:rPr>
      <w:sz w:val="21"/>
      <w:szCs w:val="21"/>
    </w:rPr>
  </w:style>
  <w:style w:type="paragraph" w:customStyle="1" w:styleId="AnnotationText">
    <w:name w:val="AnnotationText"/>
    <w:basedOn w:val="a"/>
    <w:link w:val="UserStyle1"/>
    <w:pPr>
      <w:jc w:val="left"/>
    </w:pPr>
  </w:style>
  <w:style w:type="character" w:customStyle="1" w:styleId="UserStyle1">
    <w:name w:val="UserStyle_1"/>
    <w:basedOn w:val="NormalCharacter"/>
    <w:link w:val="AnnotationText"/>
    <w:rPr>
      <w:kern w:val="2"/>
      <w:sz w:val="21"/>
      <w:szCs w:val="24"/>
    </w:rPr>
  </w:style>
  <w:style w:type="paragraph" w:customStyle="1" w:styleId="AnnotationSubject">
    <w:name w:val="AnnotationSubject"/>
    <w:basedOn w:val="AnnotationText"/>
    <w:next w:val="AnnotationText"/>
    <w:link w:val="UserStyle2"/>
  </w:style>
  <w:style w:type="character" w:customStyle="1" w:styleId="UserStyle2">
    <w:name w:val="UserStyle_2"/>
    <w:basedOn w:val="UserStyle1"/>
    <w:link w:val="AnnotationSubject"/>
    <w:rPr>
      <w:rFonts w:cs="Times New Roman"/>
      <w:b/>
      <w:bCs/>
      <w:kern w:val="2"/>
      <w:sz w:val="21"/>
      <w:szCs w:val="24"/>
    </w:rPr>
  </w:style>
  <w:style w:type="paragraph" w:customStyle="1" w:styleId="178">
    <w:name w:val="178"/>
    <w:hidden/>
    <w:pPr>
      <w:textAlignment w:val="baseline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 cf</cp:lastModifiedBy>
  <cp:revision>10</cp:revision>
  <dcterms:created xsi:type="dcterms:W3CDTF">2022-04-13T03:45:00Z</dcterms:created>
  <dcterms:modified xsi:type="dcterms:W3CDTF">2022-04-13T13:46:00Z</dcterms:modified>
</cp:coreProperties>
</file>