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40" w:lineRule="exact"/>
        <w:textAlignment w:val="auto"/>
        <w:rPr>
          <w:rFonts w:hint="eastAsia" w:ascii="黑体" w:hAnsi="黑体" w:eastAsia="黑体" w:cs="黑体"/>
          <w:b w:val="0"/>
          <w:i w:val="0"/>
          <w:snapToGrid/>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color w:val="auto"/>
          <w:sz w:val="44"/>
          <w:u w:val="none"/>
        </w:rPr>
      </w:pPr>
      <w:r>
        <w:rPr>
          <w:rFonts w:hint="eastAsia" w:ascii="方正小标宋简体" w:hAnsi="方正小标宋简体" w:eastAsia="方正小标宋简体" w:cs="方正小标宋简体"/>
          <w:b w:val="0"/>
          <w:bCs w:val="0"/>
          <w:snapToGrid/>
          <w:color w:val="auto"/>
          <w:sz w:val="44"/>
          <w:u w:val="none"/>
          <w:lang w:val="en-US" w:eastAsia="zh-CN"/>
        </w:rPr>
        <w:t>广东省医疗保障局关于印发</w:t>
      </w:r>
      <w:r>
        <w:rPr>
          <w:rFonts w:hint="eastAsia" w:ascii="方正小标宋简体" w:hAnsi="方正小标宋简体" w:eastAsia="方正小标宋简体" w:cs="方正小标宋简体"/>
          <w:b w:val="0"/>
          <w:bCs w:val="0"/>
          <w:snapToGrid/>
          <w:color w:val="auto"/>
          <w:sz w:val="44"/>
          <w:u w:val="none"/>
        </w:rPr>
        <w:t>公立医疗机构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color w:val="auto"/>
          <w:sz w:val="44"/>
          <w:u w:val="none"/>
          <w:lang w:val="en-US" w:eastAsia="zh-CN"/>
        </w:rPr>
      </w:pPr>
      <w:r>
        <w:rPr>
          <w:rFonts w:hint="eastAsia" w:ascii="方正小标宋简体" w:hAnsi="方正小标宋简体" w:eastAsia="方正小标宋简体" w:cs="方正小标宋简体"/>
          <w:b w:val="0"/>
          <w:bCs w:val="0"/>
          <w:snapToGrid/>
          <w:color w:val="auto"/>
          <w:sz w:val="44"/>
          <w:u w:val="none"/>
        </w:rPr>
        <w:t>医疗服务价格动态调整</w:t>
      </w:r>
      <w:r>
        <w:rPr>
          <w:rFonts w:hint="eastAsia" w:ascii="方正小标宋简体" w:hAnsi="方正小标宋简体" w:eastAsia="方正小标宋简体" w:cs="方正小标宋简体"/>
          <w:b w:val="0"/>
          <w:bCs w:val="0"/>
          <w:snapToGrid/>
          <w:color w:val="auto"/>
          <w:sz w:val="44"/>
          <w:szCs w:val="22"/>
          <w:u w:val="none"/>
          <w:lang w:val="en-US" w:eastAsia="zh-CN"/>
        </w:rPr>
        <w:t>指标（试行）</w:t>
      </w:r>
      <w:r>
        <w:rPr>
          <w:rFonts w:hint="eastAsia" w:ascii="方正小标宋简体" w:hAnsi="方正小标宋简体" w:eastAsia="方正小标宋简体" w:cs="方正小标宋简体"/>
          <w:b w:val="0"/>
          <w:bCs w:val="0"/>
          <w:snapToGrid/>
          <w:color w:val="auto"/>
          <w:sz w:val="44"/>
          <w:u w:val="none"/>
          <w:lang w:val="en-US" w:eastAsia="zh-CN"/>
        </w:rPr>
        <w:t>的通知</w:t>
      </w:r>
    </w:p>
    <w:p>
      <w:pPr>
        <w:keepNext w:val="0"/>
        <w:keepLines w:val="0"/>
        <w:pageBreakBefore w:val="0"/>
        <w:widowControl w:val="0"/>
        <w:kinsoku/>
        <w:wordWrap/>
        <w:overflowPunct/>
        <w:topLinePunct w:val="0"/>
        <w:autoSpaceDE/>
        <w:autoSpaceDN w:val="0"/>
        <w:bidi w:val="0"/>
        <w:adjustRightInd/>
        <w:snapToGrid/>
        <w:spacing w:line="540" w:lineRule="exact"/>
        <w:jc w:val="center"/>
        <w:textAlignment w:val="auto"/>
        <w:rPr>
          <w:rFonts w:hint="eastAsia" w:ascii="楷体_GB2312" w:hAnsi="楷体_GB2312" w:eastAsia="楷体_GB2312" w:cs="楷体_GB2312"/>
          <w:b w:val="0"/>
          <w:i w:val="0"/>
          <w:snapToGrid/>
          <w:color w:val="auto"/>
          <w:sz w:val="32"/>
          <w:szCs w:val="32"/>
          <w:u w:val="none"/>
          <w:lang w:eastAsia="zh-CN"/>
        </w:rPr>
      </w:pPr>
      <w:r>
        <w:rPr>
          <w:rFonts w:hint="eastAsia" w:ascii="楷体_GB2312" w:hAnsi="楷体_GB2312" w:eastAsia="楷体_GB2312" w:cs="楷体_GB2312"/>
          <w:b w:val="0"/>
          <w:i w:val="0"/>
          <w:snapToGrid/>
          <w:color w:val="auto"/>
          <w:sz w:val="32"/>
          <w:szCs w:val="32"/>
          <w:u w:val="none"/>
          <w:lang w:eastAsia="zh-CN"/>
        </w:rPr>
        <w:t>（</w:t>
      </w:r>
      <w:r>
        <w:rPr>
          <w:rFonts w:hint="eastAsia" w:ascii="楷体_GB2312" w:hAnsi="楷体_GB2312" w:eastAsia="楷体_GB2312" w:cs="楷体_GB2312"/>
          <w:b w:val="0"/>
          <w:i w:val="0"/>
          <w:snapToGrid/>
          <w:color w:val="auto"/>
          <w:sz w:val="32"/>
          <w:szCs w:val="32"/>
          <w:u w:val="none"/>
          <w:lang w:val="en-US" w:eastAsia="zh-CN"/>
        </w:rPr>
        <w:t>征求意见稿</w:t>
      </w:r>
      <w:r>
        <w:rPr>
          <w:rFonts w:hint="eastAsia" w:ascii="楷体_GB2312" w:hAnsi="楷体_GB2312" w:eastAsia="楷体_GB2312" w:cs="楷体_GB2312"/>
          <w:b w:val="0"/>
          <w:i w:val="0"/>
          <w:snapToGrid/>
          <w:color w:val="auto"/>
          <w:sz w:val="32"/>
          <w:szCs w:val="32"/>
          <w:u w:val="none"/>
          <w:lang w:eastAsia="zh-CN"/>
        </w:rPr>
        <w:t>）</w:t>
      </w:r>
    </w:p>
    <w:p>
      <w:pPr>
        <w:keepNext w:val="0"/>
        <w:keepLines w:val="0"/>
        <w:pageBreakBefore w:val="0"/>
        <w:widowControl w:val="0"/>
        <w:kinsoku/>
        <w:wordWrap/>
        <w:overflowPunct/>
        <w:topLinePunct w:val="0"/>
        <w:autoSpaceDE/>
        <w:autoSpaceDN w:val="0"/>
        <w:bidi w:val="0"/>
        <w:adjustRightInd/>
        <w:snapToGrid/>
        <w:spacing w:line="540" w:lineRule="exact"/>
        <w:textAlignment w:val="auto"/>
        <w:rPr>
          <w:rFonts w:hint="default" w:ascii="Times New Roman" w:hAnsi="Times New Roman" w:eastAsia="仿宋_GB2312" w:cs="Times New Roman"/>
          <w:b w:val="0"/>
          <w:i w:val="0"/>
          <w:snapToGrid/>
          <w:color w:val="auto"/>
          <w:sz w:val="32"/>
          <w:szCs w:val="32"/>
          <w:u w:val="none"/>
        </w:rPr>
      </w:pPr>
    </w:p>
    <w:p>
      <w:pPr>
        <w:keepNext w:val="0"/>
        <w:keepLines w:val="0"/>
        <w:pageBreakBefore w:val="0"/>
        <w:widowControl w:val="0"/>
        <w:kinsoku/>
        <w:wordWrap/>
        <w:overflowPunct/>
        <w:topLinePunct w:val="0"/>
        <w:autoSpaceDE/>
        <w:autoSpaceDN w:val="0"/>
        <w:bidi w:val="0"/>
        <w:adjustRightInd/>
        <w:snapToGrid/>
        <w:spacing w:line="540" w:lineRule="exact"/>
        <w:textAlignment w:val="auto"/>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仿宋_GB2312" w:cs="Times New Roman"/>
          <w:b w:val="0"/>
          <w:i w:val="0"/>
          <w:snapToGrid/>
          <w:color w:val="auto"/>
          <w:sz w:val="32"/>
          <w:szCs w:val="32"/>
          <w:u w:val="none"/>
        </w:rPr>
        <w:t>各地级以上市医疗保障局：</w:t>
      </w:r>
      <w:r>
        <w:rPr>
          <w:rFonts w:hint="eastAsia" w:ascii="Times New Roman" w:hAnsi="Times New Roman" w:eastAsia="仿宋_GB2312" w:cs="Times New Roman"/>
          <w:b w:val="0"/>
          <w:i w:val="0"/>
          <w:snapToGrid/>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540" w:lineRule="exact"/>
        <w:ind w:firstLine="640" w:firstLineChars="200"/>
        <w:textAlignment w:val="auto"/>
        <w:rPr>
          <w:rFonts w:hint="default" w:ascii="Times New Roman" w:hAnsi="Times New Roman" w:eastAsia="仿宋_GB2312" w:cs="Times New Roman"/>
          <w:b w:val="0"/>
          <w:i w:val="0"/>
          <w:snapToGrid/>
          <w:color w:val="auto"/>
          <w:sz w:val="32"/>
          <w:szCs w:val="32"/>
          <w:u w:val="none"/>
          <w:lang w:val="en-US" w:eastAsia="zh-CN"/>
        </w:rPr>
      </w:pPr>
      <w:r>
        <w:rPr>
          <w:rFonts w:hint="eastAsia" w:ascii="Times New Roman" w:hAnsi="Times New Roman" w:eastAsia="仿宋_GB2312" w:cs="Times New Roman"/>
          <w:b w:val="0"/>
          <w:i w:val="0"/>
          <w:snapToGrid/>
          <w:color w:val="auto"/>
          <w:sz w:val="32"/>
          <w:szCs w:val="32"/>
          <w:u w:val="none"/>
          <w:lang w:val="en-US" w:eastAsia="zh-CN"/>
        </w:rPr>
        <w:t>为贯彻落实</w:t>
      </w:r>
      <w:r>
        <w:rPr>
          <w:rFonts w:hint="default" w:ascii="Times New Roman" w:hAnsi="Times New Roman" w:eastAsia="仿宋_GB2312" w:cs="Times New Roman"/>
          <w:b w:val="0"/>
          <w:i w:val="0"/>
          <w:snapToGrid/>
          <w:color w:val="auto"/>
          <w:sz w:val="32"/>
          <w:szCs w:val="32"/>
          <w:u w:val="none"/>
          <w:lang w:val="en-US" w:eastAsia="zh-CN"/>
        </w:rPr>
        <w:t>《国家医保局 国家卫生健康委 财政部 市场监管总局印发&lt;关于做好当前医疗服务价格动态调整工作的意见&gt;的通知》（医保发〔2019〕79 号）</w:t>
      </w:r>
      <w:r>
        <w:rPr>
          <w:rFonts w:hint="eastAsia" w:ascii="Times New Roman" w:hAnsi="Times New Roman" w:eastAsia="仿宋_GB2312" w:cs="Times New Roman"/>
          <w:b w:val="0"/>
          <w:i w:val="0"/>
          <w:snapToGrid/>
          <w:color w:val="auto"/>
          <w:sz w:val="32"/>
          <w:szCs w:val="32"/>
          <w:u w:val="none"/>
          <w:lang w:val="en-US" w:eastAsia="zh-CN"/>
        </w:rPr>
        <w:t>和</w:t>
      </w:r>
      <w:r>
        <w:rPr>
          <w:rFonts w:hint="default" w:ascii="Times New Roman" w:hAnsi="Times New Roman" w:eastAsia="仿宋_GB2312" w:cs="Times New Roman"/>
          <w:color w:val="auto"/>
          <w:sz w:val="32"/>
          <w:szCs w:val="32"/>
          <w:u w:val="none"/>
          <w:lang w:val="en-US" w:eastAsia="zh-CN"/>
        </w:rPr>
        <w:t>《广东省医疗保障局关于建立公立医疗机构医疗服务价格动态调整机制的指导意见》（粤医保规〔2020〕1号）</w:t>
      </w:r>
      <w:r>
        <w:rPr>
          <w:rFonts w:hint="eastAsia" w:ascii="Times New Roman" w:hAnsi="Times New Roman" w:eastAsia="仿宋_GB2312" w:cs="Times New Roman"/>
          <w:color w:val="auto"/>
          <w:sz w:val="32"/>
          <w:szCs w:val="32"/>
          <w:u w:val="none"/>
          <w:lang w:val="en-US" w:eastAsia="zh-CN"/>
        </w:rPr>
        <w:t>要求</w:t>
      </w:r>
      <w:r>
        <w:rPr>
          <w:rFonts w:hint="eastAsia" w:ascii="Times New Roman" w:hAnsi="Times New Roman" w:eastAsia="仿宋_GB2312" w:cs="Times New Roman"/>
          <w:b w:val="0"/>
          <w:i w:val="0"/>
          <w:snapToGrid/>
          <w:color w:val="auto"/>
          <w:sz w:val="32"/>
          <w:szCs w:val="32"/>
          <w:u w:val="none"/>
          <w:lang w:val="en-US" w:eastAsia="zh-CN"/>
        </w:rPr>
        <w:t>，</w:t>
      </w:r>
      <w:r>
        <w:rPr>
          <w:rFonts w:hint="default" w:ascii="Times New Roman" w:hAnsi="Times New Roman" w:eastAsia="仿宋_GB2312" w:cs="Times New Roman"/>
          <w:b w:val="0"/>
          <w:i w:val="0"/>
          <w:snapToGrid/>
          <w:color w:val="auto"/>
          <w:sz w:val="32"/>
          <w:szCs w:val="32"/>
          <w:u w:val="none"/>
        </w:rPr>
        <w:t>完善</w:t>
      </w:r>
      <w:r>
        <w:rPr>
          <w:rFonts w:hint="default" w:ascii="Times New Roman" w:hAnsi="Times New Roman" w:eastAsia="仿宋_GB2312" w:cs="Times New Roman"/>
          <w:b w:val="0"/>
          <w:i w:val="0"/>
          <w:snapToGrid/>
          <w:color w:val="auto"/>
          <w:sz w:val="32"/>
          <w:szCs w:val="32"/>
          <w:u w:val="none"/>
          <w:lang w:val="en-US" w:eastAsia="zh-CN"/>
        </w:rPr>
        <w:t>我省</w:t>
      </w:r>
      <w:r>
        <w:rPr>
          <w:rFonts w:hint="default" w:ascii="Times New Roman" w:hAnsi="Times New Roman" w:eastAsia="仿宋_GB2312" w:cs="Times New Roman"/>
          <w:b w:val="0"/>
          <w:i w:val="0"/>
          <w:snapToGrid/>
          <w:color w:val="auto"/>
          <w:sz w:val="32"/>
          <w:szCs w:val="32"/>
          <w:u w:val="none"/>
        </w:rPr>
        <w:t>医疗服务价格动态调整机制</w:t>
      </w:r>
      <w:r>
        <w:rPr>
          <w:rFonts w:hint="default" w:ascii="Times New Roman" w:hAnsi="Times New Roman" w:eastAsia="仿宋_GB2312" w:cs="Times New Roman"/>
          <w:b w:val="0"/>
          <w:i w:val="0"/>
          <w:snapToGrid/>
          <w:color w:val="auto"/>
          <w:sz w:val="32"/>
          <w:szCs w:val="32"/>
          <w:u w:val="none"/>
          <w:lang w:eastAsia="zh-CN"/>
        </w:rPr>
        <w:t>，</w:t>
      </w:r>
      <w:r>
        <w:rPr>
          <w:rFonts w:hint="default" w:ascii="Times New Roman" w:hAnsi="Times New Roman" w:eastAsia="仿宋_GB2312" w:cs="Times New Roman"/>
          <w:b w:val="0"/>
          <w:i w:val="0"/>
          <w:snapToGrid/>
          <w:color w:val="auto"/>
          <w:sz w:val="32"/>
          <w:szCs w:val="32"/>
          <w:u w:val="none"/>
        </w:rPr>
        <w:t>现</w:t>
      </w:r>
      <w:r>
        <w:rPr>
          <w:rFonts w:hint="eastAsia" w:ascii="Times New Roman" w:hAnsi="Times New Roman" w:eastAsia="仿宋_GB2312" w:cs="Times New Roman"/>
          <w:b w:val="0"/>
          <w:i w:val="0"/>
          <w:snapToGrid/>
          <w:color w:val="auto"/>
          <w:sz w:val="32"/>
          <w:szCs w:val="32"/>
          <w:u w:val="none"/>
          <w:lang w:val="en-US" w:eastAsia="zh-CN"/>
        </w:rPr>
        <w:t>就</w:t>
      </w:r>
      <w:r>
        <w:rPr>
          <w:rFonts w:hint="default" w:ascii="Times New Roman" w:hAnsi="Times New Roman" w:eastAsia="仿宋_GB2312" w:cs="Times New Roman"/>
          <w:b w:val="0"/>
          <w:i w:val="0"/>
          <w:snapToGrid/>
          <w:color w:val="auto"/>
          <w:sz w:val="32"/>
          <w:szCs w:val="32"/>
          <w:u w:val="none"/>
          <w:lang w:val="en-US" w:eastAsia="zh-CN"/>
        </w:rPr>
        <w:t>我省</w:t>
      </w:r>
      <w:r>
        <w:rPr>
          <w:rFonts w:hint="default" w:ascii="Times New Roman" w:hAnsi="Times New Roman" w:eastAsia="仿宋_GB2312" w:cs="Times New Roman"/>
          <w:b w:val="0"/>
          <w:i w:val="0"/>
          <w:snapToGrid/>
          <w:color w:val="auto"/>
          <w:sz w:val="32"/>
          <w:szCs w:val="32"/>
          <w:u w:val="none"/>
        </w:rPr>
        <w:t>公立医疗机构医疗服务价格动态调整</w:t>
      </w:r>
      <w:r>
        <w:rPr>
          <w:rFonts w:hint="eastAsia" w:ascii="Times New Roman" w:hAnsi="Times New Roman" w:eastAsia="仿宋_GB2312" w:cs="Times New Roman"/>
          <w:b w:val="0"/>
          <w:i w:val="0"/>
          <w:snapToGrid/>
          <w:color w:val="auto"/>
          <w:sz w:val="32"/>
          <w:szCs w:val="32"/>
          <w:u w:val="none"/>
          <w:lang w:val="en-US" w:eastAsia="zh-CN"/>
        </w:rPr>
        <w:t>指标等有</w:t>
      </w:r>
      <w:r>
        <w:rPr>
          <w:rFonts w:hint="default" w:ascii="Times New Roman" w:hAnsi="Times New Roman" w:eastAsia="仿宋_GB2312" w:cs="Times New Roman"/>
          <w:b w:val="0"/>
          <w:i w:val="0"/>
          <w:snapToGrid/>
          <w:color w:val="auto"/>
          <w:sz w:val="32"/>
          <w:szCs w:val="32"/>
          <w:u w:val="none"/>
          <w:lang w:val="en-US" w:eastAsia="zh-CN"/>
        </w:rPr>
        <w:t>关事项通知如下：</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right="67" w:rightChars="0" w:firstLine="640" w:firstLineChars="200"/>
        <w:jc w:val="both"/>
        <w:textAlignment w:val="auto"/>
        <w:rPr>
          <w:rFonts w:hint="eastAsia" w:ascii="Times New Roman" w:hAnsi="Times New Roman" w:eastAsia="仿宋_GB2312" w:cs="Times New Roman"/>
          <w:b w:val="0"/>
          <w:i w:val="0"/>
          <w:snapToGrid/>
          <w:color w:val="auto"/>
          <w:sz w:val="32"/>
          <w:szCs w:val="32"/>
          <w:u w:val="none"/>
          <w:lang w:val="en-US" w:eastAsia="zh-CN"/>
        </w:rPr>
      </w:pPr>
      <w:r>
        <w:rPr>
          <w:rFonts w:hint="eastAsia" w:ascii="黑体" w:hAnsi="黑体" w:eastAsia="黑体" w:cs="黑体"/>
          <w:b w:val="0"/>
          <w:i w:val="0"/>
          <w:snapToGrid/>
          <w:color w:val="auto"/>
          <w:sz w:val="32"/>
          <w:szCs w:val="32"/>
          <w:u w:val="none"/>
          <w:lang w:val="en-US" w:eastAsia="zh-CN"/>
        </w:rPr>
        <w:t>一、设置价格动态调整指标。</w:t>
      </w:r>
      <w:r>
        <w:rPr>
          <w:rFonts w:hint="eastAsia" w:ascii="Times New Roman" w:hAnsi="Times New Roman" w:eastAsia="仿宋_GB2312" w:cs="Times New Roman"/>
          <w:b w:val="0"/>
          <w:i w:val="0"/>
          <w:snapToGrid/>
          <w:color w:val="auto"/>
          <w:sz w:val="32"/>
          <w:szCs w:val="32"/>
          <w:u w:val="none"/>
          <w:lang w:val="en-US" w:eastAsia="zh-CN"/>
        </w:rPr>
        <w:t>公立医疗机构医疗服务价格动态调整原则上应符合</w:t>
      </w:r>
      <w:r>
        <w:rPr>
          <w:rFonts w:hint="default" w:ascii="Times New Roman" w:hAnsi="Times New Roman" w:eastAsia="仿宋_GB2312" w:cs="Times New Roman"/>
          <w:b w:val="0"/>
          <w:i w:val="0"/>
          <w:snapToGrid/>
          <w:color w:val="auto"/>
          <w:sz w:val="32"/>
          <w:szCs w:val="32"/>
          <w:u w:val="none"/>
          <w:lang w:val="en-US" w:eastAsia="zh-CN"/>
        </w:rPr>
        <w:t>医疗服务价格动态调整启动和约束指标相关标准</w:t>
      </w:r>
      <w:r>
        <w:rPr>
          <w:rFonts w:hint="eastAsia" w:ascii="Times New Roman" w:hAnsi="Times New Roman" w:eastAsia="仿宋_GB2312" w:cs="Times New Roman"/>
          <w:b w:val="0"/>
          <w:i w:val="0"/>
          <w:snapToGrid/>
          <w:color w:val="auto"/>
          <w:sz w:val="32"/>
          <w:szCs w:val="32"/>
          <w:u w:val="none"/>
          <w:lang w:val="en-US" w:eastAsia="zh-CN"/>
        </w:rPr>
        <w:t>（详见附件）。达到启动指标其中1项或以上标准，且未触发约束指标</w:t>
      </w:r>
      <w:r>
        <w:rPr>
          <w:rFonts w:hint="default" w:ascii="Times New Roman" w:hAnsi="Times New Roman" w:eastAsia="仿宋_GB2312" w:cs="Times New Roman"/>
          <w:b w:val="0"/>
          <w:i w:val="0"/>
          <w:snapToGrid/>
          <w:color w:val="auto"/>
          <w:sz w:val="32"/>
          <w:szCs w:val="32"/>
          <w:u w:val="none"/>
          <w:lang w:val="en-US" w:eastAsia="zh-CN"/>
        </w:rPr>
        <w:t>的，</w:t>
      </w:r>
      <w:r>
        <w:rPr>
          <w:rFonts w:hint="eastAsia" w:ascii="Times New Roman" w:hAnsi="Times New Roman" w:eastAsia="仿宋_GB2312" w:cs="Times New Roman"/>
          <w:b w:val="0"/>
          <w:i w:val="0"/>
          <w:snapToGrid/>
          <w:color w:val="auto"/>
          <w:sz w:val="32"/>
          <w:szCs w:val="32"/>
          <w:u w:val="none"/>
          <w:lang w:val="en-US" w:eastAsia="zh-CN"/>
        </w:rPr>
        <w:t>可启动本地区医疗服务价格动态调整。达到1项或以上</w:t>
      </w:r>
      <w:r>
        <w:rPr>
          <w:rFonts w:hint="default" w:ascii="Times New Roman" w:hAnsi="Times New Roman" w:eastAsia="仿宋_GB2312" w:cs="Times New Roman"/>
          <w:b w:val="0"/>
          <w:i w:val="0"/>
          <w:snapToGrid/>
          <w:color w:val="auto"/>
          <w:sz w:val="32"/>
          <w:szCs w:val="32"/>
          <w:u w:val="none"/>
          <w:lang w:val="en-US" w:eastAsia="zh-CN"/>
        </w:rPr>
        <w:t>约束</w:t>
      </w:r>
      <w:r>
        <w:rPr>
          <w:rFonts w:hint="eastAsia" w:ascii="Times New Roman" w:hAnsi="Times New Roman" w:eastAsia="仿宋_GB2312" w:cs="Times New Roman"/>
          <w:b w:val="0"/>
          <w:i w:val="0"/>
          <w:snapToGrid/>
          <w:color w:val="auto"/>
          <w:sz w:val="32"/>
          <w:szCs w:val="32"/>
          <w:u w:val="none"/>
          <w:lang w:val="en-US" w:eastAsia="zh-CN"/>
        </w:rPr>
        <w:t>指标标准的</w:t>
      </w:r>
      <w:r>
        <w:rPr>
          <w:rFonts w:hint="default" w:ascii="Times New Roman" w:hAnsi="Times New Roman" w:eastAsia="仿宋_GB2312" w:cs="Times New Roman"/>
          <w:b w:val="0"/>
          <w:i w:val="0"/>
          <w:snapToGrid/>
          <w:color w:val="auto"/>
          <w:sz w:val="32"/>
          <w:szCs w:val="32"/>
          <w:u w:val="none"/>
          <w:lang w:val="en-US" w:eastAsia="zh-CN"/>
        </w:rPr>
        <w:t>，本年度原则上不安排</w:t>
      </w:r>
      <w:r>
        <w:rPr>
          <w:rFonts w:hint="eastAsia" w:ascii="Times New Roman" w:hAnsi="Times New Roman" w:eastAsia="仿宋_GB2312" w:cs="Times New Roman"/>
          <w:b w:val="0"/>
          <w:i w:val="0"/>
          <w:snapToGrid/>
          <w:color w:val="auto"/>
          <w:sz w:val="32"/>
          <w:szCs w:val="32"/>
          <w:u w:val="none"/>
          <w:lang w:val="en-US" w:eastAsia="zh-CN"/>
        </w:rPr>
        <w:t>本地区医疗服务</w:t>
      </w:r>
      <w:r>
        <w:rPr>
          <w:rFonts w:hint="default" w:ascii="Times New Roman" w:hAnsi="Times New Roman" w:eastAsia="仿宋_GB2312" w:cs="Times New Roman"/>
          <w:b w:val="0"/>
          <w:i w:val="0"/>
          <w:snapToGrid/>
          <w:color w:val="auto"/>
          <w:sz w:val="32"/>
          <w:szCs w:val="32"/>
          <w:u w:val="none"/>
          <w:lang w:val="en-US" w:eastAsia="zh-CN"/>
        </w:rPr>
        <w:t>价格动态调整。</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right="67" w:rightChars="0" w:firstLine="640" w:firstLineChars="200"/>
        <w:jc w:val="both"/>
        <w:textAlignment w:val="auto"/>
        <w:rPr>
          <w:rFonts w:hint="default" w:ascii="Times New Roman" w:hAnsi="Times New Roman" w:eastAsia="仿宋_GB2312" w:cs="Times New Roman"/>
          <w:b w:val="0"/>
          <w:i w:val="0"/>
          <w:snapToGrid/>
          <w:color w:val="auto"/>
          <w:sz w:val="32"/>
          <w:szCs w:val="32"/>
          <w:u w:val="none"/>
          <w:lang w:val="en-US" w:eastAsia="zh-CN"/>
        </w:rPr>
      </w:pPr>
      <w:r>
        <w:rPr>
          <w:rFonts w:hint="eastAsia" w:ascii="黑体" w:hAnsi="黑体" w:eastAsia="黑体" w:cs="黑体"/>
          <w:b w:val="0"/>
          <w:i w:val="0"/>
          <w:snapToGrid/>
          <w:color w:val="auto"/>
          <w:sz w:val="32"/>
          <w:szCs w:val="32"/>
          <w:u w:val="none"/>
          <w:lang w:val="en-US" w:eastAsia="zh-CN"/>
        </w:rPr>
        <w:t>二、统筹开展专项价格调整。</w:t>
      </w:r>
      <w:r>
        <w:rPr>
          <w:rFonts w:hint="eastAsia" w:ascii="Times New Roman" w:hAnsi="Times New Roman" w:eastAsia="仿宋_GB2312" w:cs="Times New Roman"/>
          <w:b w:val="0"/>
          <w:i w:val="0"/>
          <w:snapToGrid/>
          <w:color w:val="auto"/>
          <w:sz w:val="32"/>
          <w:szCs w:val="32"/>
          <w:u w:val="none"/>
          <w:lang w:val="en-US" w:eastAsia="zh-CN"/>
        </w:rPr>
        <w:t>配套医改重点任务实施的专项调整，以及价格矛盾突出项目进行的个别调整，可不受启动和约束指标的限制，按程序启动医疗服务价格调整</w:t>
      </w:r>
      <w:r>
        <w:rPr>
          <w:rFonts w:hint="eastAsia" w:ascii="Times New Roman" w:hAnsi="Times New Roman" w:eastAsia="仿宋_GB2312" w:cs="Times New Roman"/>
          <w:b w:val="0"/>
          <w:i w:val="0"/>
          <w:snapToGrid/>
          <w:color w:val="auto"/>
          <w:sz w:val="32"/>
          <w:szCs w:val="32"/>
          <w:u w:val="none"/>
          <w:lang w:eastAsia="zh-CN"/>
        </w:rPr>
        <w:t>。</w:t>
      </w:r>
      <w:r>
        <w:rPr>
          <w:rFonts w:hint="default" w:ascii="Times New Roman" w:hAnsi="Times New Roman" w:eastAsia="仿宋_GB2312" w:cs="Times New Roman"/>
          <w:b w:val="0"/>
          <w:i w:val="0"/>
          <w:snapToGrid/>
          <w:color w:val="auto"/>
          <w:sz w:val="32"/>
          <w:szCs w:val="32"/>
          <w:u w:val="none"/>
          <w:lang w:val="en-US" w:eastAsia="zh-CN"/>
        </w:rPr>
        <w:t>出现重大灾害、重大公共卫生事件等不宜提高医疗服务价格的其他情形</w:t>
      </w:r>
      <w:r>
        <w:rPr>
          <w:rFonts w:hint="eastAsia" w:ascii="Times New Roman" w:hAnsi="Times New Roman" w:eastAsia="仿宋_GB2312" w:cs="Times New Roman"/>
          <w:b w:val="0"/>
          <w:i w:val="0"/>
          <w:snapToGrid/>
          <w:color w:val="auto"/>
          <w:sz w:val="32"/>
          <w:szCs w:val="32"/>
          <w:u w:val="none"/>
          <w:lang w:val="en-US" w:eastAsia="zh-CN"/>
        </w:rPr>
        <w:t>的，原则上</w:t>
      </w:r>
      <w:r>
        <w:rPr>
          <w:rFonts w:hint="default" w:ascii="Times New Roman" w:hAnsi="Times New Roman" w:eastAsia="仿宋_GB2312" w:cs="Times New Roman"/>
          <w:b w:val="0"/>
          <w:i w:val="0"/>
          <w:snapToGrid/>
          <w:color w:val="auto"/>
          <w:sz w:val="32"/>
          <w:szCs w:val="32"/>
          <w:u w:val="none"/>
          <w:lang w:val="en-US" w:eastAsia="zh-CN"/>
        </w:rPr>
        <w:t>不安排</w:t>
      </w:r>
      <w:r>
        <w:rPr>
          <w:rFonts w:hint="eastAsia" w:ascii="Times New Roman" w:hAnsi="Times New Roman" w:eastAsia="仿宋_GB2312" w:cs="Times New Roman"/>
          <w:b w:val="0"/>
          <w:i w:val="0"/>
          <w:snapToGrid/>
          <w:color w:val="auto"/>
          <w:sz w:val="32"/>
          <w:szCs w:val="32"/>
          <w:u w:val="none"/>
          <w:lang w:val="en-US" w:eastAsia="zh-CN"/>
        </w:rPr>
        <w:t>上调医疗服务</w:t>
      </w:r>
      <w:r>
        <w:rPr>
          <w:rFonts w:hint="default" w:ascii="Times New Roman" w:hAnsi="Times New Roman" w:eastAsia="仿宋_GB2312" w:cs="Times New Roman"/>
          <w:b w:val="0"/>
          <w:i w:val="0"/>
          <w:snapToGrid/>
          <w:color w:val="auto"/>
          <w:sz w:val="32"/>
          <w:szCs w:val="32"/>
          <w:u w:val="none"/>
          <w:lang w:val="en-US" w:eastAsia="zh-CN"/>
        </w:rPr>
        <w:t>价格</w:t>
      </w:r>
      <w:r>
        <w:rPr>
          <w:rFonts w:hint="eastAsia" w:ascii="Times New Roman" w:hAnsi="Times New Roman" w:eastAsia="仿宋_GB2312" w:cs="Times New Roman"/>
          <w:b w:val="0"/>
          <w:i w:val="0"/>
          <w:snapToGrid/>
          <w:color w:val="auto"/>
          <w:sz w:val="32"/>
          <w:szCs w:val="32"/>
          <w:u w:val="none"/>
          <w:lang w:val="en-US" w:eastAsia="zh-CN"/>
        </w:rPr>
        <w:t>。</w:t>
      </w:r>
    </w:p>
    <w:p>
      <w:pPr>
        <w:keepNext w:val="0"/>
        <w:keepLines w:val="0"/>
        <w:pageBreakBefore w:val="0"/>
        <w:widowControl w:val="0"/>
        <w:kinsoku/>
        <w:wordWrap/>
        <w:overflowPunct/>
        <w:topLinePunct w:val="0"/>
        <w:autoSpaceDE/>
        <w:autoSpaceDN w:val="0"/>
        <w:bidi w:val="0"/>
        <w:adjustRightInd/>
        <w:snapToGrid/>
        <w:spacing w:line="540" w:lineRule="exact"/>
        <w:ind w:right="67" w:firstLine="640"/>
        <w:jc w:val="both"/>
        <w:textAlignment w:val="auto"/>
        <w:rPr>
          <w:rFonts w:hint="eastAsia" w:ascii="Times New Roman" w:hAnsi="Times New Roman" w:eastAsia="仿宋_GB2312" w:cs="Times New Roman"/>
          <w:b w:val="0"/>
          <w:i w:val="0"/>
          <w:snapToGrid/>
          <w:color w:val="auto"/>
          <w:sz w:val="32"/>
          <w:szCs w:val="32"/>
          <w:u w:val="none"/>
          <w:lang w:eastAsia="zh-CN"/>
        </w:rPr>
      </w:pPr>
      <w:r>
        <w:rPr>
          <w:rFonts w:hint="eastAsia" w:ascii="黑体" w:hAnsi="黑体" w:eastAsia="黑体" w:cs="黑体"/>
          <w:b w:val="0"/>
          <w:i w:val="0"/>
          <w:snapToGrid/>
          <w:color w:val="auto"/>
          <w:sz w:val="32"/>
          <w:szCs w:val="32"/>
          <w:u w:val="none"/>
          <w:lang w:val="en-US" w:eastAsia="zh-CN"/>
        </w:rPr>
        <w:t>三、依法依规开展调价工作。</w:t>
      </w:r>
      <w:r>
        <w:rPr>
          <w:rFonts w:hint="default" w:ascii="Times New Roman" w:hAnsi="Times New Roman" w:eastAsia="仿宋_GB2312" w:cs="Times New Roman"/>
          <w:b w:val="0"/>
          <w:i w:val="0"/>
          <w:snapToGrid/>
          <w:color w:val="auto"/>
          <w:sz w:val="32"/>
          <w:szCs w:val="32"/>
          <w:u w:val="none"/>
        </w:rPr>
        <w:t>各地</w:t>
      </w:r>
      <w:r>
        <w:rPr>
          <w:rFonts w:hint="eastAsia" w:ascii="Times New Roman" w:hAnsi="Times New Roman" w:eastAsia="仿宋_GB2312" w:cs="Times New Roman"/>
          <w:b w:val="0"/>
          <w:i w:val="0"/>
          <w:snapToGrid/>
          <w:color w:val="auto"/>
          <w:sz w:val="32"/>
          <w:szCs w:val="32"/>
          <w:u w:val="none"/>
          <w:lang w:val="en-US" w:eastAsia="zh-CN"/>
        </w:rPr>
        <w:t>启动医疗服务价格调整前，需对本地区上年度（即评估年度）的相关指标开展调价评估，可根据医疗机构等级等实际细化相关评估内容，综合分析各项指标和有关政策、医疗服务价格指数等数据，形成评估报告。调价评估周期最长不超过两年，2022年应开展一次调价评估，年度内各地需要实施调价评估的，原则上应于当年9月30日前完成。符合调价条件的，履行调价程序，坚持总量控制原则，合理测算调价空间，优化选择调价项目，科学制定调价方案</w:t>
      </w:r>
      <w:r>
        <w:rPr>
          <w:rFonts w:hint="default" w:ascii="Times New Roman" w:hAnsi="Times New Roman" w:eastAsia="仿宋_GB2312" w:cs="Times New Roman"/>
          <w:b w:val="0"/>
          <w:i w:val="0"/>
          <w:snapToGrid/>
          <w:color w:val="auto"/>
          <w:sz w:val="32"/>
          <w:szCs w:val="32"/>
          <w:u w:val="none"/>
          <w:lang w:eastAsia="zh-CN"/>
        </w:rPr>
        <w:t>。</w:t>
      </w:r>
      <w:r>
        <w:rPr>
          <w:rFonts w:hint="eastAsia" w:ascii="Times New Roman" w:hAnsi="Times New Roman" w:eastAsia="仿宋_GB2312" w:cs="Times New Roman"/>
          <w:b w:val="0"/>
          <w:i w:val="0"/>
          <w:snapToGrid/>
          <w:color w:val="auto"/>
          <w:sz w:val="32"/>
          <w:szCs w:val="32"/>
          <w:u w:val="none"/>
          <w:lang w:eastAsia="zh-CN"/>
        </w:rPr>
        <w:t>各地年度医疗服务价格指数在省内超过中位数的，或其分类价格指数上涨不符合调价政策的，其调价总量不宜提高，可进行结构性调整。</w:t>
      </w:r>
    </w:p>
    <w:p>
      <w:pPr>
        <w:keepNext w:val="0"/>
        <w:keepLines w:val="0"/>
        <w:pageBreakBefore w:val="0"/>
        <w:widowControl w:val="0"/>
        <w:kinsoku/>
        <w:wordWrap/>
        <w:overflowPunct/>
        <w:topLinePunct w:val="0"/>
        <w:autoSpaceDE/>
        <w:autoSpaceDN w:val="0"/>
        <w:bidi w:val="0"/>
        <w:adjustRightInd/>
        <w:snapToGrid/>
        <w:spacing w:line="540" w:lineRule="exact"/>
        <w:ind w:right="67" w:firstLine="640"/>
        <w:jc w:val="both"/>
        <w:textAlignment w:val="auto"/>
        <w:rPr>
          <w:rFonts w:hint="default" w:ascii="Times New Roman" w:hAnsi="Times New Roman" w:eastAsia="仿宋_GB2312" w:cs="Times New Roman"/>
          <w:b w:val="0"/>
          <w:i w:val="0"/>
          <w:snapToGrid/>
          <w:color w:val="auto"/>
          <w:sz w:val="32"/>
          <w:szCs w:val="32"/>
          <w:u w:val="none"/>
          <w:lang w:val="en-US"/>
        </w:rPr>
      </w:pPr>
      <w:r>
        <w:rPr>
          <w:rFonts w:hint="eastAsia" w:ascii="黑体" w:hAnsi="黑体" w:eastAsia="黑体" w:cs="黑体"/>
          <w:b w:val="0"/>
          <w:i w:val="0"/>
          <w:snapToGrid/>
          <w:color w:val="auto"/>
          <w:sz w:val="32"/>
          <w:szCs w:val="32"/>
          <w:u w:val="none"/>
          <w:lang w:val="en-US" w:eastAsia="zh-CN"/>
        </w:rPr>
        <w:t>四、及时报告价格动态调整情况。</w:t>
      </w:r>
      <w:r>
        <w:rPr>
          <w:rFonts w:hint="eastAsia" w:ascii="Times New Roman" w:hAnsi="Times New Roman" w:eastAsia="仿宋_GB2312" w:cs="Times New Roman"/>
          <w:b w:val="0"/>
          <w:i w:val="0"/>
          <w:snapToGrid/>
          <w:color w:val="auto"/>
          <w:sz w:val="32"/>
          <w:szCs w:val="32"/>
          <w:u w:val="none"/>
          <w:lang w:val="en-US" w:eastAsia="zh-CN"/>
        </w:rPr>
        <w:t>各地要按照《广东省医疗保障局关于建立我省医疗服务价格重要事项报告制度的通知》（粤医保函</w:t>
      </w:r>
      <w:r>
        <w:rPr>
          <w:rFonts w:hint="default" w:ascii="Times New Roman" w:hAnsi="Times New Roman" w:eastAsia="仿宋_GB2312" w:cs="Times New Roman"/>
          <w:b w:val="0"/>
          <w:i w:val="0"/>
          <w:snapToGrid/>
          <w:color w:val="auto"/>
          <w:sz w:val="32"/>
          <w:szCs w:val="32"/>
          <w:u w:val="none"/>
          <w:lang w:val="en-US" w:eastAsia="zh-CN"/>
        </w:rPr>
        <w:t>〔20</w:t>
      </w:r>
      <w:r>
        <w:rPr>
          <w:rFonts w:hint="eastAsia" w:ascii="Times New Roman" w:hAnsi="Times New Roman" w:eastAsia="仿宋_GB2312" w:cs="Times New Roman"/>
          <w:b w:val="0"/>
          <w:i w:val="0"/>
          <w:snapToGrid/>
          <w:color w:val="auto"/>
          <w:sz w:val="32"/>
          <w:szCs w:val="32"/>
          <w:u w:val="none"/>
          <w:lang w:val="en-US" w:eastAsia="zh-CN"/>
        </w:rPr>
        <w:t>22</w:t>
      </w:r>
      <w:r>
        <w:rPr>
          <w:rFonts w:hint="default" w:ascii="Times New Roman" w:hAnsi="Times New Roman" w:eastAsia="仿宋_GB2312" w:cs="Times New Roman"/>
          <w:b w:val="0"/>
          <w:i w:val="0"/>
          <w:snapToGrid/>
          <w:color w:val="auto"/>
          <w:sz w:val="32"/>
          <w:szCs w:val="32"/>
          <w:u w:val="none"/>
          <w:lang w:val="en-US" w:eastAsia="zh-CN"/>
        </w:rPr>
        <w:t>〕</w:t>
      </w:r>
      <w:r>
        <w:rPr>
          <w:rFonts w:hint="eastAsia" w:ascii="Times New Roman" w:hAnsi="Times New Roman" w:eastAsia="仿宋_GB2312" w:cs="Times New Roman"/>
          <w:b w:val="0"/>
          <w:i w:val="0"/>
          <w:snapToGrid/>
          <w:color w:val="auto"/>
          <w:sz w:val="32"/>
          <w:szCs w:val="32"/>
          <w:u w:val="none"/>
          <w:lang w:val="en-US" w:eastAsia="zh-CN"/>
        </w:rPr>
        <w:t>8号）要求，及时报告本地区医疗服务价格动态调整情况。相关医疗服务价格项目高于《广东省医疗保障局关于印发网上就诊诊查费等医疗服务价格项目参考价的函》（</w:t>
      </w:r>
      <w:r>
        <w:rPr>
          <w:rFonts w:hint="default" w:ascii="Times New Roman" w:hAnsi="Times New Roman" w:eastAsia="仿宋_GB2312" w:cs="Times New Roman"/>
          <w:b w:val="0"/>
          <w:bCs w:val="0"/>
          <w:color w:val="auto"/>
          <w:sz w:val="32"/>
          <w:szCs w:val="32"/>
          <w:u w:val="none"/>
          <w:lang w:val="en-US" w:eastAsia="zh-CN" w:bidi="ar-SA"/>
        </w:rPr>
        <w:t>粤医保函</w:t>
      </w:r>
      <w:r>
        <w:rPr>
          <w:rFonts w:hint="default" w:ascii="Times New Roman" w:hAnsi="Times New Roman" w:eastAsia="仿宋_GB2312" w:cs="Times New Roman"/>
          <w:color w:val="auto"/>
          <w:kern w:val="0"/>
          <w:sz w:val="32"/>
          <w:szCs w:val="32"/>
          <w:u w:val="none"/>
          <w:lang w:val="en-US" w:eastAsia="zh-CN" w:bidi="ar"/>
        </w:rPr>
        <w:t>〔20</w:t>
      </w:r>
      <w:r>
        <w:rPr>
          <w:rFonts w:hint="eastAsia" w:ascii="Times New Roman" w:hAnsi="Times New Roman" w:eastAsia="仿宋_GB2312" w:cs="Times New Roman"/>
          <w:color w:val="auto"/>
          <w:kern w:val="0"/>
          <w:sz w:val="32"/>
          <w:szCs w:val="32"/>
          <w:u w:val="none"/>
          <w:lang w:val="en-US" w:eastAsia="zh-CN" w:bidi="ar"/>
        </w:rPr>
        <w:t>21</w:t>
      </w:r>
      <w:r>
        <w:rPr>
          <w:rFonts w:hint="default" w:ascii="Times New Roman" w:hAnsi="Times New Roman" w:eastAsia="仿宋_GB2312" w:cs="Times New Roman"/>
          <w:color w:val="auto"/>
          <w:kern w:val="0"/>
          <w:sz w:val="32"/>
          <w:szCs w:val="32"/>
          <w:u w:val="none"/>
          <w:lang w:val="en-US" w:eastAsia="zh-CN" w:bidi="ar"/>
        </w:rPr>
        <w:t>〕</w:t>
      </w:r>
      <w:r>
        <w:rPr>
          <w:rFonts w:hint="eastAsia" w:ascii="Times New Roman" w:hAnsi="Times New Roman" w:eastAsia="仿宋_GB2312" w:cs="Times New Roman"/>
          <w:color w:val="auto"/>
          <w:kern w:val="0"/>
          <w:sz w:val="32"/>
          <w:szCs w:val="32"/>
          <w:u w:val="none"/>
          <w:lang w:val="en-US" w:eastAsia="zh-CN" w:bidi="ar"/>
        </w:rPr>
        <w:t>139</w:t>
      </w:r>
      <w:r>
        <w:rPr>
          <w:rFonts w:hint="default" w:ascii="Times New Roman" w:hAnsi="Times New Roman" w:eastAsia="仿宋_GB2312" w:cs="Times New Roman"/>
          <w:color w:val="auto"/>
          <w:kern w:val="0"/>
          <w:sz w:val="32"/>
          <w:szCs w:val="32"/>
          <w:u w:val="none"/>
          <w:lang w:val="en-US" w:eastAsia="zh-CN" w:bidi="ar"/>
        </w:rPr>
        <w:t>号</w:t>
      </w:r>
      <w:r>
        <w:rPr>
          <w:rFonts w:hint="eastAsia" w:ascii="Times New Roman" w:hAnsi="Times New Roman" w:eastAsia="仿宋_GB2312" w:cs="Times New Roman"/>
          <w:b w:val="0"/>
          <w:i w:val="0"/>
          <w:snapToGrid/>
          <w:color w:val="auto"/>
          <w:sz w:val="32"/>
          <w:szCs w:val="32"/>
          <w:u w:val="none"/>
          <w:lang w:val="en-US" w:eastAsia="zh-CN"/>
        </w:rPr>
        <w:t>）等参考价文件所定价格的，应在报告中说明。</w:t>
      </w:r>
    </w:p>
    <w:p>
      <w:pPr>
        <w:keepNext w:val="0"/>
        <w:keepLines w:val="0"/>
        <w:pageBreakBefore w:val="0"/>
        <w:widowControl w:val="0"/>
        <w:kinsoku/>
        <w:wordWrap/>
        <w:overflowPunct/>
        <w:topLinePunct w:val="0"/>
        <w:autoSpaceDE/>
        <w:autoSpaceDN w:val="0"/>
        <w:bidi w:val="0"/>
        <w:adjustRightInd/>
        <w:snapToGrid/>
        <w:spacing w:line="540" w:lineRule="exact"/>
        <w:ind w:right="67" w:firstLine="640"/>
        <w:jc w:val="both"/>
        <w:textAlignment w:val="auto"/>
        <w:rPr>
          <w:rFonts w:hint="default" w:ascii="Times New Roman" w:hAnsi="Times New Roman" w:eastAsia="仿宋_GB2312" w:cs="Times New Roman"/>
          <w:b w:val="0"/>
          <w:i w:val="0"/>
          <w:snapToGrid/>
          <w:color w:val="auto"/>
          <w:sz w:val="32"/>
          <w:szCs w:val="32"/>
          <w:u w:val="none"/>
          <w:lang w:eastAsia="zh-CN"/>
        </w:rPr>
      </w:pPr>
      <w:r>
        <w:rPr>
          <w:rFonts w:hint="default" w:ascii="Times New Roman" w:hAnsi="Times New Roman" w:eastAsia="仿宋_GB2312" w:cs="Times New Roman"/>
          <w:b w:val="0"/>
          <w:i w:val="0"/>
          <w:snapToGrid/>
          <w:color w:val="auto"/>
          <w:sz w:val="32"/>
          <w:szCs w:val="32"/>
          <w:u w:val="none"/>
          <w:lang w:eastAsia="zh-CN"/>
        </w:rPr>
        <w:t>本</w:t>
      </w:r>
      <w:r>
        <w:rPr>
          <w:rFonts w:hint="default" w:ascii="Times New Roman" w:hAnsi="Times New Roman" w:eastAsia="仿宋_GB2312" w:cs="Times New Roman"/>
          <w:b w:val="0"/>
          <w:i w:val="0"/>
          <w:snapToGrid/>
          <w:color w:val="auto"/>
          <w:sz w:val="32"/>
          <w:szCs w:val="32"/>
          <w:u w:val="none"/>
          <w:lang w:val="en-US" w:eastAsia="zh-CN"/>
        </w:rPr>
        <w:t>通知</w:t>
      </w:r>
      <w:r>
        <w:rPr>
          <w:rFonts w:hint="default" w:ascii="Times New Roman" w:hAnsi="Times New Roman" w:eastAsia="仿宋_GB2312" w:cs="Times New Roman"/>
          <w:b w:val="0"/>
          <w:i w:val="0"/>
          <w:snapToGrid/>
          <w:color w:val="auto"/>
          <w:sz w:val="32"/>
          <w:szCs w:val="32"/>
          <w:u w:val="none"/>
          <w:lang w:eastAsia="zh-CN"/>
        </w:rPr>
        <w:t>自</w:t>
      </w:r>
      <w:r>
        <w:rPr>
          <w:rFonts w:hint="eastAsia" w:ascii="Times New Roman" w:hAnsi="Times New Roman" w:eastAsia="仿宋_GB2312" w:cs="Times New Roman"/>
          <w:b w:val="0"/>
          <w:i w:val="0"/>
          <w:snapToGrid/>
          <w:color w:val="auto"/>
          <w:sz w:val="32"/>
          <w:szCs w:val="32"/>
          <w:u w:val="none"/>
          <w:lang w:val="en-US" w:eastAsia="zh-CN"/>
        </w:rPr>
        <w:t>印发之日</w:t>
      </w:r>
      <w:r>
        <w:rPr>
          <w:rFonts w:hint="default" w:ascii="Times New Roman" w:hAnsi="Times New Roman" w:eastAsia="仿宋_GB2312" w:cs="Times New Roman"/>
          <w:b w:val="0"/>
          <w:i w:val="0"/>
          <w:snapToGrid/>
          <w:color w:val="auto"/>
          <w:sz w:val="32"/>
          <w:szCs w:val="32"/>
          <w:u w:val="none"/>
          <w:lang w:eastAsia="zh-CN"/>
        </w:rPr>
        <w:t>起执行</w:t>
      </w:r>
      <w:r>
        <w:rPr>
          <w:rFonts w:hint="eastAsia" w:ascii="Times New Roman" w:hAnsi="Times New Roman" w:eastAsia="仿宋_GB2312" w:cs="Times New Roman"/>
          <w:b w:val="0"/>
          <w:i w:val="0"/>
          <w:snapToGrid/>
          <w:color w:val="auto"/>
          <w:sz w:val="32"/>
          <w:szCs w:val="32"/>
          <w:u w:val="none"/>
          <w:lang w:eastAsia="zh-CN"/>
        </w:rPr>
        <w:t>，</w:t>
      </w:r>
      <w:r>
        <w:rPr>
          <w:rFonts w:hint="eastAsia" w:ascii="Times New Roman" w:hAnsi="Times New Roman" w:eastAsia="仿宋_GB2312" w:cs="Times New Roman"/>
          <w:b w:val="0"/>
          <w:i w:val="0"/>
          <w:snapToGrid/>
          <w:color w:val="auto"/>
          <w:sz w:val="32"/>
          <w:szCs w:val="32"/>
          <w:lang w:val="en-US" w:eastAsia="zh-CN"/>
        </w:rPr>
        <w:t>有效期3年。</w:t>
      </w:r>
      <w:r>
        <w:rPr>
          <w:rFonts w:hint="default" w:ascii="Times New Roman" w:hAnsi="Times New Roman" w:eastAsia="仿宋_GB2312" w:cs="Times New Roman"/>
          <w:b w:val="0"/>
          <w:i w:val="0"/>
          <w:snapToGrid/>
          <w:color w:val="auto"/>
          <w:sz w:val="32"/>
          <w:szCs w:val="32"/>
          <w:u w:val="none"/>
          <w:lang w:eastAsia="zh-CN"/>
        </w:rPr>
        <w:t>执行期间</w:t>
      </w:r>
      <w:r>
        <w:rPr>
          <w:rFonts w:hint="eastAsia" w:ascii="Times New Roman" w:hAnsi="Times New Roman" w:eastAsia="仿宋_GB2312" w:cs="Times New Roman"/>
          <w:b w:val="0"/>
          <w:i w:val="0"/>
          <w:snapToGrid/>
          <w:color w:val="auto"/>
          <w:sz w:val="32"/>
          <w:szCs w:val="32"/>
          <w:u w:val="none"/>
          <w:lang w:val="en-US" w:eastAsia="zh-CN"/>
        </w:rPr>
        <w:t>遇到的</w:t>
      </w:r>
      <w:r>
        <w:rPr>
          <w:rFonts w:hint="default" w:ascii="Times New Roman" w:hAnsi="Times New Roman" w:eastAsia="仿宋_GB2312" w:cs="Times New Roman"/>
          <w:b w:val="0"/>
          <w:i w:val="0"/>
          <w:snapToGrid/>
          <w:color w:val="auto"/>
          <w:sz w:val="32"/>
          <w:szCs w:val="32"/>
          <w:u w:val="none"/>
          <w:lang w:eastAsia="zh-CN"/>
        </w:rPr>
        <w:t>问题请</w:t>
      </w:r>
      <w:r>
        <w:rPr>
          <w:rFonts w:hint="eastAsia" w:ascii="Times New Roman" w:hAnsi="Times New Roman" w:eastAsia="仿宋_GB2312" w:cs="Times New Roman"/>
          <w:b w:val="0"/>
          <w:i w:val="0"/>
          <w:snapToGrid/>
          <w:color w:val="auto"/>
          <w:sz w:val="32"/>
          <w:szCs w:val="32"/>
          <w:u w:val="none"/>
          <w:lang w:val="en-US" w:eastAsia="zh-CN"/>
        </w:rPr>
        <w:t>径</w:t>
      </w:r>
      <w:r>
        <w:rPr>
          <w:rFonts w:hint="default" w:ascii="Times New Roman" w:hAnsi="Times New Roman" w:eastAsia="仿宋_GB2312" w:cs="Times New Roman"/>
          <w:b w:val="0"/>
          <w:i w:val="0"/>
          <w:snapToGrid/>
          <w:color w:val="auto"/>
          <w:sz w:val="32"/>
          <w:szCs w:val="32"/>
          <w:u w:val="none"/>
          <w:lang w:eastAsia="zh-CN"/>
        </w:rPr>
        <w:t>向</w:t>
      </w:r>
      <w:r>
        <w:rPr>
          <w:rFonts w:hint="eastAsia" w:ascii="Times New Roman" w:hAnsi="Times New Roman" w:eastAsia="仿宋_GB2312" w:cs="Times New Roman"/>
          <w:b w:val="0"/>
          <w:i w:val="0"/>
          <w:snapToGrid/>
          <w:color w:val="auto"/>
          <w:sz w:val="32"/>
          <w:szCs w:val="32"/>
          <w:u w:val="none"/>
          <w:lang w:val="en-US" w:eastAsia="zh-CN"/>
        </w:rPr>
        <w:t>广东省医疗保障局</w:t>
      </w:r>
      <w:r>
        <w:rPr>
          <w:rFonts w:hint="default" w:ascii="Times New Roman" w:hAnsi="Times New Roman" w:eastAsia="仿宋_GB2312" w:cs="Times New Roman"/>
          <w:b w:val="0"/>
          <w:i w:val="0"/>
          <w:snapToGrid/>
          <w:color w:val="auto"/>
          <w:sz w:val="32"/>
          <w:szCs w:val="32"/>
          <w:u w:val="none"/>
          <w:lang w:eastAsia="zh-CN"/>
        </w:rPr>
        <w:t>价格和招标采购处反映。</w:t>
      </w:r>
    </w:p>
    <w:p>
      <w:pPr>
        <w:keepNext w:val="0"/>
        <w:keepLines w:val="0"/>
        <w:pageBreakBefore w:val="0"/>
        <w:widowControl w:val="0"/>
        <w:kinsoku/>
        <w:wordWrap/>
        <w:overflowPunct/>
        <w:topLinePunct w:val="0"/>
        <w:autoSpaceDE/>
        <w:autoSpaceDN w:val="0"/>
        <w:bidi w:val="0"/>
        <w:adjustRightInd/>
        <w:snapToGrid/>
        <w:spacing w:line="460" w:lineRule="exact"/>
        <w:ind w:right="68" w:firstLine="640"/>
        <w:jc w:val="both"/>
        <w:textAlignment w:val="auto"/>
        <w:rPr>
          <w:rFonts w:hint="default" w:ascii="Times New Roman" w:hAnsi="Times New Roman" w:eastAsia="仿宋_GB2312" w:cs="Times New Roman"/>
          <w:b w:val="0"/>
          <w:i w:val="0"/>
          <w:snapToGrid/>
          <w:color w:val="auto"/>
          <w:sz w:val="32"/>
          <w:szCs w:val="32"/>
          <w:u w:val="none"/>
          <w:lang w:eastAsia="zh-CN"/>
        </w:rPr>
      </w:pPr>
    </w:p>
    <w:p>
      <w:pPr>
        <w:keepNext w:val="0"/>
        <w:keepLines w:val="0"/>
        <w:pageBreakBefore w:val="0"/>
        <w:widowControl w:val="0"/>
        <w:kinsoku/>
        <w:wordWrap/>
        <w:overflowPunct/>
        <w:topLinePunct w:val="0"/>
        <w:autoSpaceDE/>
        <w:autoSpaceDN w:val="0"/>
        <w:bidi w:val="0"/>
        <w:adjustRightInd/>
        <w:snapToGrid/>
        <w:spacing w:line="460" w:lineRule="exact"/>
        <w:ind w:left="1600" w:leftChars="305" w:right="68" w:hanging="960" w:hangingChars="300"/>
        <w:jc w:val="both"/>
        <w:textAlignment w:val="auto"/>
        <w:rPr>
          <w:rFonts w:hint="eastAsia" w:ascii="Times New Roman" w:hAnsi="Times New Roman" w:eastAsia="仿宋_GB2312" w:cs="Times New Roman"/>
          <w:b w:val="0"/>
          <w:i w:val="0"/>
          <w:snapToGrid/>
          <w:color w:val="auto"/>
          <w:sz w:val="32"/>
          <w:szCs w:val="32"/>
          <w:u w:val="none"/>
          <w:lang w:val="en-US" w:eastAsia="zh-CN"/>
        </w:rPr>
      </w:pPr>
      <w:r>
        <w:rPr>
          <w:rFonts w:hint="eastAsia" w:ascii="Times New Roman" w:hAnsi="Times New Roman" w:eastAsia="仿宋_GB2312" w:cs="Times New Roman"/>
          <w:b w:val="0"/>
          <w:i w:val="0"/>
          <w:snapToGrid/>
          <w:color w:val="auto"/>
          <w:sz w:val="32"/>
          <w:szCs w:val="32"/>
          <w:u w:val="none"/>
          <w:lang w:val="en-US" w:eastAsia="zh-CN"/>
        </w:rPr>
        <w:t>附件：公立医疗机构医疗服务价格动态调整启动和约束指标（试行）</w:t>
      </w:r>
    </w:p>
    <w:p>
      <w:pPr>
        <w:pStyle w:val="2"/>
        <w:rPr>
          <w:rFonts w:hint="eastAsia"/>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right="68"/>
        <w:jc w:val="both"/>
        <w:textAlignment w:val="auto"/>
        <w:rPr>
          <w:rFonts w:hint="eastAsia" w:ascii="Times New Roman" w:hAnsi="Times New Roman" w:eastAsia="仿宋_GB2312" w:cs="Times New Roman"/>
          <w:b w:val="0"/>
          <w:i w:val="0"/>
          <w:snapToGrid/>
          <w:color w:val="auto"/>
          <w:sz w:val="32"/>
          <w:szCs w:val="32"/>
          <w:u w:val="none"/>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right="68" w:firstLine="640"/>
        <w:jc w:val="both"/>
        <w:textAlignment w:val="auto"/>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仿宋_GB2312" w:cs="Times New Roman"/>
          <w:b w:val="0"/>
          <w:i w:val="0"/>
          <w:snapToGrid/>
          <w:color w:val="auto"/>
          <w:sz w:val="32"/>
          <w:szCs w:val="32"/>
          <w:u w:val="none"/>
          <w:lang w:val="en-US" w:eastAsia="zh-CN"/>
        </w:rPr>
        <w:t xml:space="preserve">                               广东省医疗保障局</w:t>
      </w:r>
    </w:p>
    <w:p>
      <w:pPr>
        <w:keepNext w:val="0"/>
        <w:keepLines w:val="0"/>
        <w:pageBreakBefore w:val="0"/>
        <w:widowControl w:val="0"/>
        <w:kinsoku/>
        <w:wordWrap/>
        <w:overflowPunct/>
        <w:topLinePunct w:val="0"/>
        <w:autoSpaceDE/>
        <w:autoSpaceDN w:val="0"/>
        <w:bidi w:val="0"/>
        <w:adjustRightInd/>
        <w:snapToGrid/>
        <w:spacing w:line="440" w:lineRule="exact"/>
        <w:ind w:right="68" w:firstLine="640"/>
        <w:jc w:val="both"/>
        <w:textAlignment w:val="auto"/>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仿宋_GB2312" w:cs="Times New Roman"/>
          <w:b w:val="0"/>
          <w:i w:val="0"/>
          <w:snapToGrid/>
          <w:color w:val="auto"/>
          <w:sz w:val="32"/>
          <w:szCs w:val="32"/>
          <w:u w:val="none"/>
          <w:lang w:val="en-US" w:eastAsia="zh-CN"/>
        </w:rPr>
        <w:t xml:space="preserve">                                202</w:t>
      </w:r>
      <w:r>
        <w:rPr>
          <w:rFonts w:hint="eastAsia" w:ascii="Times New Roman" w:hAnsi="Times New Roman" w:eastAsia="仿宋_GB2312" w:cs="Times New Roman"/>
          <w:b w:val="0"/>
          <w:i w:val="0"/>
          <w:snapToGrid/>
          <w:color w:val="auto"/>
          <w:sz w:val="32"/>
          <w:szCs w:val="32"/>
          <w:u w:val="none"/>
          <w:lang w:val="en-US" w:eastAsia="zh-CN"/>
        </w:rPr>
        <w:t>2</w:t>
      </w:r>
      <w:r>
        <w:rPr>
          <w:rFonts w:hint="default" w:ascii="Times New Roman" w:hAnsi="Times New Roman" w:eastAsia="仿宋_GB2312" w:cs="Times New Roman"/>
          <w:b w:val="0"/>
          <w:i w:val="0"/>
          <w:snapToGrid/>
          <w:color w:val="auto"/>
          <w:sz w:val="32"/>
          <w:szCs w:val="32"/>
          <w:u w:val="none"/>
          <w:lang w:val="en-US" w:eastAsia="zh-CN"/>
        </w:rPr>
        <w:t>年</w:t>
      </w:r>
      <w:r>
        <w:rPr>
          <w:rFonts w:hint="eastAsia" w:ascii="Times New Roman" w:hAnsi="Times New Roman" w:eastAsia="仿宋_GB2312" w:cs="Times New Roman"/>
          <w:b w:val="0"/>
          <w:i w:val="0"/>
          <w:snapToGrid/>
          <w:color w:val="auto"/>
          <w:sz w:val="32"/>
          <w:szCs w:val="32"/>
          <w:u w:val="none"/>
          <w:lang w:val="en-US" w:eastAsia="zh-CN"/>
        </w:rPr>
        <w:t>4</w:t>
      </w:r>
      <w:r>
        <w:rPr>
          <w:rFonts w:hint="default" w:ascii="Times New Roman" w:hAnsi="Times New Roman" w:eastAsia="仿宋_GB2312" w:cs="Times New Roman"/>
          <w:b w:val="0"/>
          <w:i w:val="0"/>
          <w:snapToGrid/>
          <w:color w:val="auto"/>
          <w:sz w:val="32"/>
          <w:szCs w:val="32"/>
          <w:u w:val="none"/>
          <w:lang w:val="en-US" w:eastAsia="zh-CN"/>
        </w:rPr>
        <w:t>月</w:t>
      </w:r>
      <w:r>
        <w:rPr>
          <w:rFonts w:hint="eastAsia" w:ascii="Times New Roman" w:hAnsi="Times New Roman" w:eastAsia="仿宋_GB2312" w:cs="Times New Roman"/>
          <w:b w:val="0"/>
          <w:i w:val="0"/>
          <w:snapToGrid/>
          <w:color w:val="auto"/>
          <w:sz w:val="32"/>
          <w:szCs w:val="32"/>
          <w:u w:val="none"/>
          <w:lang w:val="en-US" w:eastAsia="zh-CN"/>
        </w:rPr>
        <w:t>21</w:t>
      </w:r>
      <w:bookmarkStart w:id="0" w:name="_GoBack"/>
      <w:bookmarkEnd w:id="0"/>
      <w:r>
        <w:rPr>
          <w:rFonts w:hint="default" w:ascii="Times New Roman" w:hAnsi="Times New Roman" w:eastAsia="仿宋_GB2312" w:cs="Times New Roman"/>
          <w:b w:val="0"/>
          <w:i w:val="0"/>
          <w:snapToGrid/>
          <w:color w:val="auto"/>
          <w:sz w:val="32"/>
          <w:szCs w:val="32"/>
          <w:u w:val="none"/>
          <w:lang w:val="en-US" w:eastAsia="zh-CN"/>
        </w:rPr>
        <w:t>日</w:t>
      </w:r>
    </w:p>
    <w:p>
      <w:pPr>
        <w:pStyle w:val="2"/>
        <w:rPr>
          <w:rFonts w:hint="eastAsia"/>
          <w:lang w:val="en-US" w:eastAsia="zh-CN"/>
        </w:rPr>
      </w:pPr>
    </w:p>
    <w:p>
      <w:pPr>
        <w:pStyle w:val="2"/>
        <w:rPr>
          <w:rFonts w:hint="eastAsia"/>
          <w:lang w:val="en-US" w:eastAsia="zh-CN"/>
        </w:rPr>
        <w:sectPr>
          <w:pgSz w:w="11906" w:h="16838"/>
          <w:pgMar w:top="1701" w:right="1587" w:bottom="1701" w:left="1587" w:header="851" w:footer="992" w:gutter="0"/>
          <w:cols w:space="720" w:num="1"/>
          <w:docGrid w:type="lines" w:linePitch="312" w:charSpace="0"/>
        </w:sectPr>
      </w:pPr>
    </w:p>
    <w:p>
      <w:pPr>
        <w:kinsoku/>
        <w:autoSpaceDE/>
        <w:autoSpaceDN w:val="0"/>
        <w:spacing w:line="360" w:lineRule="atLeast"/>
        <w:ind w:right="67"/>
        <w:jc w:val="both"/>
        <w:rPr>
          <w:rFonts w:hint="eastAsia" w:ascii="黑体" w:hAnsi="黑体" w:eastAsia="黑体" w:cs="黑体"/>
          <w:b w:val="0"/>
          <w:i w:val="0"/>
          <w:snapToGrid/>
          <w:color w:val="auto"/>
          <w:sz w:val="24"/>
          <w:szCs w:val="24"/>
          <w:u w:val="none"/>
          <w:lang w:val="en-US" w:eastAsia="zh-CN"/>
        </w:rPr>
      </w:pPr>
      <w:r>
        <w:rPr>
          <w:rFonts w:hint="eastAsia" w:ascii="黑体" w:hAnsi="黑体" w:eastAsia="黑体" w:cs="黑体"/>
          <w:b w:val="0"/>
          <w:i w:val="0"/>
          <w:snapToGrid/>
          <w:color w:val="auto"/>
          <w:sz w:val="32"/>
          <w:szCs w:val="32"/>
          <w:u w:val="none"/>
          <w:lang w:val="en-US" w:eastAsia="zh-CN"/>
        </w:rPr>
        <w:t>附件</w:t>
      </w:r>
    </w:p>
    <w:p>
      <w:pPr>
        <w:kinsoku/>
        <w:autoSpaceDE/>
        <w:autoSpaceDN w:val="0"/>
        <w:spacing w:line="360" w:lineRule="atLeast"/>
        <w:ind w:right="67" w:firstLine="3200" w:firstLineChars="1000"/>
        <w:jc w:val="both"/>
        <w:rPr>
          <w:rFonts w:hint="eastAsia" w:ascii="方正小标宋简体" w:hAnsi="方正小标宋简体" w:eastAsia="方正小标宋简体" w:cs="方正小标宋简体"/>
          <w:b w:val="0"/>
          <w:i w:val="0"/>
          <w:snapToGrid/>
          <w:color w:val="auto"/>
          <w:sz w:val="32"/>
          <w:szCs w:val="32"/>
          <w:u w:val="none"/>
          <w:lang w:val="en-US" w:eastAsia="zh-CN"/>
        </w:rPr>
      </w:pPr>
      <w:r>
        <w:rPr>
          <w:rFonts w:hint="eastAsia" w:ascii="方正小标宋简体" w:hAnsi="方正小标宋简体" w:eastAsia="方正小标宋简体" w:cs="方正小标宋简体"/>
          <w:b w:val="0"/>
          <w:i w:val="0"/>
          <w:snapToGrid/>
          <w:color w:val="auto"/>
          <w:sz w:val="32"/>
          <w:szCs w:val="32"/>
          <w:u w:val="none"/>
          <w:lang w:val="en-US" w:eastAsia="zh-CN"/>
        </w:rPr>
        <w:t>公立医疗机构医疗服务价格动态调整启动和约束指标（试行）</w:t>
      </w:r>
    </w:p>
    <w:tbl>
      <w:tblPr>
        <w:tblStyle w:val="6"/>
        <w:tblW w:w="14037" w:type="dxa"/>
        <w:jc w:val="center"/>
        <w:tblLayout w:type="fixed"/>
        <w:tblCellMar>
          <w:top w:w="0" w:type="dxa"/>
          <w:left w:w="108" w:type="dxa"/>
          <w:bottom w:w="0" w:type="dxa"/>
          <w:right w:w="108" w:type="dxa"/>
        </w:tblCellMar>
      </w:tblPr>
      <w:tblGrid>
        <w:gridCol w:w="766"/>
        <w:gridCol w:w="745"/>
        <w:gridCol w:w="2206"/>
        <w:gridCol w:w="4838"/>
        <w:gridCol w:w="5482"/>
      </w:tblGrid>
      <w:tr>
        <w:tblPrEx>
          <w:tblCellMar>
            <w:top w:w="0" w:type="dxa"/>
            <w:left w:w="108" w:type="dxa"/>
            <w:bottom w:w="0" w:type="dxa"/>
            <w:right w:w="108" w:type="dxa"/>
          </w:tblCellMar>
        </w:tblPrEx>
        <w:trPr>
          <w:trHeight w:val="316" w:hRule="atLeast"/>
          <w:jc w:val="center"/>
        </w:trPr>
        <w:tc>
          <w:tcPr>
            <w:tcW w:w="766" w:type="dxa"/>
            <w:tcBorders>
              <w:top w:val="single" w:color="auto" w:sz="4" w:space="0"/>
              <w:left w:val="single" w:color="auto" w:sz="4" w:space="0"/>
              <w:bottom w:val="single" w:color="auto" w:sz="4" w:space="0"/>
              <w:right w:val="single" w:color="000000" w:sz="4" w:space="0"/>
            </w:tcBorders>
            <w:noWrap w:val="0"/>
            <w:vAlign w:val="center"/>
          </w:tcPr>
          <w:p>
            <w:pPr>
              <w:bidi w:val="0"/>
              <w:ind w:left="0" w:leftChars="0" w:firstLine="0" w:firstLineChars="0"/>
              <w:jc w:val="center"/>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性质</w:t>
            </w:r>
          </w:p>
        </w:tc>
        <w:tc>
          <w:tcPr>
            <w:tcW w:w="745" w:type="dxa"/>
            <w:tcBorders>
              <w:top w:val="single" w:color="auto" w:sz="4" w:space="0"/>
              <w:left w:val="single" w:color="000000" w:sz="4" w:space="0"/>
              <w:bottom w:val="single" w:color="auto" w:sz="4" w:space="0"/>
              <w:right w:val="nil"/>
            </w:tcBorders>
            <w:noWrap w:val="0"/>
            <w:vAlign w:val="center"/>
          </w:tcPr>
          <w:p>
            <w:pPr>
              <w:bidi w:val="0"/>
              <w:ind w:left="0" w:leftChars="0" w:firstLine="0" w:firstLineChars="0"/>
              <w:jc w:val="center"/>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序号</w:t>
            </w:r>
          </w:p>
        </w:tc>
        <w:tc>
          <w:tcPr>
            <w:tcW w:w="2206" w:type="dxa"/>
            <w:tcBorders>
              <w:top w:val="single" w:color="auto" w:sz="4" w:space="0"/>
              <w:left w:val="single" w:color="000000" w:sz="4" w:space="0"/>
              <w:bottom w:val="single" w:color="auto" w:sz="4" w:space="0"/>
              <w:right w:val="single" w:color="000000" w:sz="4" w:space="0"/>
            </w:tcBorders>
            <w:noWrap w:val="0"/>
            <w:vAlign w:val="center"/>
          </w:tcPr>
          <w:p>
            <w:pPr>
              <w:bidi w:val="0"/>
              <w:ind w:left="0" w:leftChars="0" w:firstLine="0" w:firstLineChars="0"/>
              <w:jc w:val="center"/>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指标</w:t>
            </w:r>
          </w:p>
        </w:tc>
        <w:tc>
          <w:tcPr>
            <w:tcW w:w="4838" w:type="dxa"/>
            <w:tcBorders>
              <w:top w:val="single" w:color="auto" w:sz="4" w:space="0"/>
              <w:left w:val="single" w:color="000000" w:sz="4" w:space="0"/>
              <w:bottom w:val="single" w:color="auto" w:sz="4" w:space="0"/>
              <w:right w:val="single" w:color="auto" w:sz="4" w:space="0"/>
            </w:tcBorders>
            <w:noWrap w:val="0"/>
            <w:vAlign w:val="center"/>
          </w:tcPr>
          <w:p>
            <w:pPr>
              <w:bidi w:val="0"/>
              <w:ind w:left="0" w:leftChars="0" w:firstLine="0" w:firstLineChars="0"/>
              <w:jc w:val="center"/>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标准</w:t>
            </w:r>
          </w:p>
        </w:tc>
        <w:tc>
          <w:tcPr>
            <w:tcW w:w="5482" w:type="dxa"/>
            <w:tcBorders>
              <w:top w:val="single" w:color="auto" w:sz="4" w:space="0"/>
              <w:left w:val="single" w:color="000000" w:sz="4" w:space="0"/>
              <w:bottom w:val="single" w:color="auto" w:sz="4" w:space="0"/>
              <w:right w:val="single" w:color="auto" w:sz="4" w:space="0"/>
            </w:tcBorders>
            <w:noWrap w:val="0"/>
            <w:vAlign w:val="center"/>
          </w:tcPr>
          <w:p>
            <w:pPr>
              <w:bidi w:val="0"/>
              <w:ind w:left="0" w:leftChars="0" w:firstLine="0" w:firstLineChars="0"/>
              <w:jc w:val="center"/>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计算方式</w:t>
            </w:r>
          </w:p>
        </w:tc>
      </w:tr>
      <w:tr>
        <w:tblPrEx>
          <w:tblCellMar>
            <w:top w:w="0" w:type="dxa"/>
            <w:left w:w="108" w:type="dxa"/>
            <w:bottom w:w="0" w:type="dxa"/>
            <w:right w:w="108" w:type="dxa"/>
          </w:tblCellMar>
        </w:tblPrEx>
        <w:trPr>
          <w:trHeight w:val="598" w:hRule="atLeast"/>
          <w:jc w:val="center"/>
        </w:trPr>
        <w:tc>
          <w:tcPr>
            <w:tcW w:w="766" w:type="dxa"/>
            <w:vMerge w:val="restart"/>
            <w:tcBorders>
              <w:top w:val="single" w:color="auto" w:sz="4" w:space="0"/>
              <w:left w:val="single" w:color="auto" w:sz="4" w:space="0"/>
              <w:right w:val="single" w:color="000000" w:sz="4" w:space="0"/>
            </w:tcBorders>
            <w:noWrap w:val="0"/>
            <w:vAlign w:val="center"/>
          </w:tcPr>
          <w:p>
            <w:pPr>
              <w:bidi w:val="0"/>
              <w:ind w:left="0" w:leftChars="0" w:firstLine="0" w:firstLineChars="0"/>
              <w:jc w:val="center"/>
              <w:rPr>
                <w:rFonts w:hint="eastAsia"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启</w:t>
            </w:r>
          </w:p>
          <w:p>
            <w:pPr>
              <w:bidi w:val="0"/>
              <w:ind w:left="0" w:leftChars="0" w:firstLine="0" w:firstLineChars="0"/>
              <w:jc w:val="center"/>
              <w:rPr>
                <w:rFonts w:hint="eastAsia"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动</w:t>
            </w:r>
          </w:p>
          <w:p>
            <w:pPr>
              <w:bidi w:val="0"/>
              <w:ind w:left="0" w:leftChars="0" w:firstLine="0" w:firstLineChars="0"/>
              <w:jc w:val="center"/>
              <w:rPr>
                <w:rFonts w:hint="eastAsia"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指</w:t>
            </w:r>
          </w:p>
          <w:p>
            <w:pPr>
              <w:bidi w:val="0"/>
              <w:ind w:left="0" w:leftChars="0" w:firstLine="0" w:firstLineChars="0"/>
              <w:jc w:val="center"/>
              <w:rPr>
                <w:rFonts w:hint="default" w:ascii="Times New Roman" w:hAnsi="Times New Roman" w:eastAsia="宋体" w:cs="Times New Roman"/>
                <w:color w:val="auto"/>
                <w:sz w:val="18"/>
                <w:szCs w:val="18"/>
                <w:u w:val="none"/>
                <w:lang w:val="en-US" w:eastAsia="zh-CN"/>
              </w:rPr>
            </w:pPr>
            <w:r>
              <w:rPr>
                <w:rFonts w:hint="eastAsia" w:ascii="Times New Roman" w:hAnsi="Times New Roman" w:eastAsia="宋体" w:cs="Times New Roman"/>
                <w:b w:val="0"/>
                <w:bCs w:val="0"/>
                <w:i w:val="0"/>
                <w:iCs w:val="0"/>
                <w:color w:val="auto"/>
                <w:kern w:val="0"/>
                <w:sz w:val="18"/>
                <w:szCs w:val="18"/>
                <w:u w:val="none"/>
                <w:lang w:val="en-US" w:eastAsia="zh-CN" w:bidi="ar"/>
              </w:rPr>
              <w:t>标</w:t>
            </w:r>
          </w:p>
        </w:tc>
        <w:tc>
          <w:tcPr>
            <w:tcW w:w="745" w:type="dxa"/>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18"/>
                <w:szCs w:val="18"/>
                <w:u w:val="none"/>
                <w:lang w:val="en-US" w:eastAsia="zh-CN"/>
              </w:rPr>
            </w:pPr>
            <w:r>
              <w:rPr>
                <w:rFonts w:hint="eastAsia" w:ascii="Times New Roman" w:hAnsi="Times New Roman" w:cs="Times New Roman"/>
                <w:b w:val="0"/>
                <w:bCs w:val="0"/>
                <w:i w:val="0"/>
                <w:iCs w:val="0"/>
                <w:color w:val="auto"/>
                <w:sz w:val="18"/>
                <w:szCs w:val="18"/>
                <w:u w:val="none"/>
                <w:lang w:val="en-US" w:eastAsia="zh-CN"/>
              </w:rPr>
              <w:t>1</w:t>
            </w:r>
          </w:p>
        </w:tc>
        <w:tc>
          <w:tcPr>
            <w:tcW w:w="220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color w:val="auto"/>
                <w:sz w:val="18"/>
                <w:szCs w:val="18"/>
                <w:u w:val="none"/>
                <w:lang w:val="en-US" w:eastAsia="zh-CN"/>
              </w:rPr>
            </w:pPr>
            <w:r>
              <w:rPr>
                <w:rFonts w:hint="eastAsia" w:ascii="Times New Roman" w:hAnsi="Times New Roman" w:cs="Times New Roman"/>
                <w:b w:val="0"/>
                <w:bCs w:val="0"/>
                <w:i w:val="0"/>
                <w:iCs w:val="0"/>
                <w:color w:val="auto"/>
                <w:kern w:val="0"/>
                <w:sz w:val="18"/>
                <w:szCs w:val="18"/>
                <w:u w:val="none"/>
                <w:lang w:val="en-US" w:eastAsia="zh-CN" w:bidi="ar"/>
              </w:rPr>
              <w:t>技术</w:t>
            </w:r>
            <w:r>
              <w:rPr>
                <w:rFonts w:hint="default" w:ascii="Times New Roman" w:hAnsi="Times New Roman" w:eastAsia="宋体" w:cs="Times New Roman"/>
                <w:b w:val="0"/>
                <w:bCs w:val="0"/>
                <w:i w:val="0"/>
                <w:iCs w:val="0"/>
                <w:color w:val="auto"/>
                <w:kern w:val="0"/>
                <w:sz w:val="18"/>
                <w:szCs w:val="18"/>
                <w:u w:val="none"/>
                <w:lang w:val="en-US" w:eastAsia="zh-CN" w:bidi="ar"/>
              </w:rPr>
              <w:t>成本占比（%）</w:t>
            </w:r>
          </w:p>
        </w:tc>
        <w:tc>
          <w:tcPr>
            <w:tcW w:w="4838"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color w:val="auto"/>
                <w:sz w:val="18"/>
                <w:szCs w:val="18"/>
                <w:u w:val="none"/>
                <w:lang w:val="en-US" w:eastAsia="zh-CN"/>
              </w:rPr>
            </w:pPr>
            <w:r>
              <w:rPr>
                <w:rFonts w:hint="eastAsia" w:ascii="Times New Roman" w:hAnsi="Times New Roman" w:cs="Times New Roman"/>
                <w:i w:val="0"/>
                <w:iCs w:val="0"/>
                <w:color w:val="auto"/>
                <w:kern w:val="0"/>
                <w:sz w:val="18"/>
                <w:szCs w:val="18"/>
                <w:u w:val="none"/>
                <w:lang w:val="en-US" w:eastAsia="zh-CN" w:bidi="ar"/>
              </w:rPr>
              <w:t>评估年度</w:t>
            </w:r>
            <w:r>
              <w:rPr>
                <w:rFonts w:hint="eastAsia" w:ascii="Times New Roman" w:hAnsi="Times New Roman" w:cs="Times New Roman"/>
                <w:i w:val="0"/>
                <w:iCs w:val="0"/>
                <w:color w:val="auto"/>
                <w:kern w:val="0"/>
                <w:sz w:val="18"/>
                <w:szCs w:val="18"/>
                <w:u w:val="none"/>
                <w:lang w:eastAsia="zh-CN" w:bidi="ar"/>
              </w:rPr>
              <w:t>公立医疗机构</w:t>
            </w:r>
            <w:r>
              <w:rPr>
                <w:rFonts w:hint="default" w:ascii="Times New Roman" w:hAnsi="Times New Roman" w:eastAsia="宋体" w:cs="Times New Roman"/>
                <w:i w:val="0"/>
                <w:iCs w:val="0"/>
                <w:color w:val="auto"/>
                <w:kern w:val="0"/>
                <w:sz w:val="18"/>
                <w:szCs w:val="18"/>
                <w:u w:val="none"/>
                <w:lang w:val="en-US" w:eastAsia="zh-CN" w:bidi="ar"/>
              </w:rPr>
              <w:t>人员经费</w:t>
            </w:r>
            <w:r>
              <w:rPr>
                <w:rFonts w:hint="default" w:ascii="Times New Roman" w:hAnsi="Times New Roman" w:cs="Times New Roman"/>
                <w:i w:val="0"/>
                <w:iCs w:val="0"/>
                <w:color w:val="auto"/>
                <w:kern w:val="0"/>
                <w:sz w:val="18"/>
                <w:szCs w:val="18"/>
                <w:u w:val="none"/>
                <w:lang w:eastAsia="zh-CN" w:bidi="ar"/>
              </w:rPr>
              <w:t>占比</w:t>
            </w:r>
            <w:r>
              <w:rPr>
                <w:rFonts w:hint="default" w:ascii="Times New Roman" w:hAnsi="Times New Roman" w:eastAsia="宋体" w:cs="Times New Roman"/>
                <w:i w:val="0"/>
                <w:iCs w:val="0"/>
                <w:color w:val="auto"/>
                <w:kern w:val="0"/>
                <w:sz w:val="18"/>
                <w:szCs w:val="18"/>
                <w:u w:val="none"/>
                <w:lang w:val="en-US" w:eastAsia="zh-CN" w:bidi="ar"/>
              </w:rPr>
              <w:t>低于40%可启动调价。</w:t>
            </w:r>
          </w:p>
        </w:tc>
        <w:tc>
          <w:tcPr>
            <w:tcW w:w="548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评估年度公立医院人员经费/评估年度公立医院类机构总费用（或总支出）。</w:t>
            </w:r>
          </w:p>
        </w:tc>
      </w:tr>
      <w:tr>
        <w:tblPrEx>
          <w:tblCellMar>
            <w:top w:w="0" w:type="dxa"/>
            <w:left w:w="108" w:type="dxa"/>
            <w:bottom w:w="0" w:type="dxa"/>
            <w:right w:w="108" w:type="dxa"/>
          </w:tblCellMar>
        </w:tblPrEx>
        <w:trPr>
          <w:trHeight w:val="1721" w:hRule="atLeast"/>
          <w:jc w:val="center"/>
        </w:trPr>
        <w:tc>
          <w:tcPr>
            <w:tcW w:w="766" w:type="dxa"/>
            <w:vMerge w:val="continue"/>
            <w:tcBorders>
              <w:left w:val="single" w:color="auto" w:sz="4" w:space="0"/>
              <w:right w:val="single" w:color="000000" w:sz="4" w:space="0"/>
            </w:tcBorders>
            <w:noWrap w:val="0"/>
            <w:vAlign w:val="center"/>
          </w:tcPr>
          <w:p>
            <w:pPr>
              <w:bidi w:val="0"/>
              <w:ind w:left="0" w:leftChars="0" w:firstLine="0" w:firstLineChars="0"/>
              <w:jc w:val="center"/>
              <w:rPr>
                <w:rFonts w:hint="default" w:ascii="Times New Roman" w:hAnsi="Times New Roman" w:eastAsia="宋体" w:cs="Times New Roman"/>
                <w:color w:val="auto"/>
                <w:sz w:val="18"/>
                <w:szCs w:val="18"/>
                <w:u w:val="none"/>
                <w:lang w:val="en-US" w:eastAsia="zh-CN"/>
              </w:rPr>
            </w:pPr>
          </w:p>
        </w:tc>
        <w:tc>
          <w:tcPr>
            <w:tcW w:w="745" w:type="dxa"/>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b w:val="0"/>
                <w:bCs w:val="0"/>
                <w:i w:val="0"/>
                <w:iCs w:val="0"/>
                <w:color w:val="auto"/>
                <w:sz w:val="18"/>
                <w:szCs w:val="18"/>
                <w:u w:val="none"/>
                <w:lang w:val="en-US" w:eastAsia="zh-CN"/>
              </w:rPr>
            </w:pPr>
            <w:r>
              <w:rPr>
                <w:rFonts w:hint="eastAsia" w:ascii="Times New Roman" w:hAnsi="Times New Roman" w:cs="Times New Roman"/>
                <w:b w:val="0"/>
                <w:bCs w:val="0"/>
                <w:i w:val="0"/>
                <w:iCs w:val="0"/>
                <w:color w:val="auto"/>
                <w:sz w:val="18"/>
                <w:szCs w:val="18"/>
                <w:u w:val="none"/>
                <w:lang w:val="en-US" w:eastAsia="zh-CN"/>
              </w:rPr>
              <w:t>2</w:t>
            </w:r>
          </w:p>
        </w:tc>
        <w:tc>
          <w:tcPr>
            <w:tcW w:w="220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cs="Times New Roman"/>
                <w:b w:val="0"/>
                <w:bCs w:val="0"/>
                <w:i w:val="0"/>
                <w:iCs w:val="0"/>
                <w:color w:val="auto"/>
                <w:kern w:val="0"/>
                <w:sz w:val="18"/>
                <w:szCs w:val="18"/>
                <w:u w:val="none"/>
                <w:lang w:val="en-US" w:eastAsia="zh-CN" w:bidi="ar"/>
              </w:rPr>
              <w:t>医疗服务收入</w:t>
            </w:r>
            <w:r>
              <w:rPr>
                <w:rFonts w:hint="default" w:ascii="Times New Roman" w:hAnsi="Times New Roman" w:eastAsia="宋体" w:cs="Times New Roman"/>
                <w:i w:val="0"/>
                <w:iCs w:val="0"/>
                <w:color w:val="auto"/>
                <w:kern w:val="0"/>
                <w:sz w:val="18"/>
                <w:szCs w:val="18"/>
                <w:u w:val="none"/>
                <w:lang w:val="en-US" w:eastAsia="zh-CN" w:bidi="ar"/>
              </w:rPr>
              <w:t>（不含药品、耗材、</w:t>
            </w:r>
            <w:r>
              <w:rPr>
                <w:rFonts w:hint="eastAsia" w:ascii="Times New Roman" w:hAnsi="Times New Roman" w:cs="Times New Roman"/>
                <w:i w:val="0"/>
                <w:iCs w:val="0"/>
                <w:color w:val="auto"/>
                <w:kern w:val="0"/>
                <w:sz w:val="18"/>
                <w:szCs w:val="18"/>
                <w:u w:val="none"/>
                <w:lang w:val="en-US" w:eastAsia="zh-CN" w:bidi="ar"/>
              </w:rPr>
              <w:t>检查、化验</w:t>
            </w:r>
            <w:r>
              <w:rPr>
                <w:rFonts w:hint="default" w:ascii="Times New Roman" w:hAnsi="Times New Roman" w:eastAsia="宋体" w:cs="Times New Roman"/>
                <w:i w:val="0"/>
                <w:iCs w:val="0"/>
                <w:color w:val="auto"/>
                <w:kern w:val="0"/>
                <w:sz w:val="18"/>
                <w:szCs w:val="18"/>
                <w:u w:val="none"/>
                <w:lang w:val="en-US" w:eastAsia="zh-CN" w:bidi="ar"/>
              </w:rPr>
              <w:t>收入）</w:t>
            </w:r>
            <w:r>
              <w:rPr>
                <w:rFonts w:hint="eastAsia" w:ascii="Times New Roman" w:hAnsi="Times New Roman" w:cs="Times New Roman"/>
                <w:b w:val="0"/>
                <w:bCs w:val="0"/>
                <w:i w:val="0"/>
                <w:iCs w:val="0"/>
                <w:color w:val="auto"/>
                <w:kern w:val="0"/>
                <w:sz w:val="18"/>
                <w:szCs w:val="18"/>
                <w:u w:val="none"/>
                <w:lang w:val="en-US" w:eastAsia="zh-CN" w:bidi="ar"/>
              </w:rPr>
              <w:t>占比（%）</w:t>
            </w:r>
          </w:p>
        </w:tc>
        <w:tc>
          <w:tcPr>
            <w:tcW w:w="4838"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评估年度公立医疗机构检查、化验收入占比增长低于</w:t>
            </w:r>
            <w:r>
              <w:rPr>
                <w:rFonts w:hint="default" w:ascii="Times New Roman" w:hAnsi="Times New Roman" w:eastAsia="宋体" w:cs="Times New Roman"/>
                <w:i w:val="0"/>
                <w:iCs w:val="0"/>
                <w:color w:val="auto"/>
                <w:kern w:val="0"/>
                <w:sz w:val="18"/>
                <w:szCs w:val="18"/>
                <w:u w:val="none"/>
                <w:lang w:val="en-US" w:eastAsia="zh-CN" w:bidi="ar"/>
              </w:rPr>
              <w:t>医疗服务收入（不含药品、耗材、</w:t>
            </w:r>
            <w:r>
              <w:rPr>
                <w:rFonts w:hint="eastAsia" w:ascii="Times New Roman" w:hAnsi="Times New Roman" w:cs="Times New Roman"/>
                <w:i w:val="0"/>
                <w:iCs w:val="0"/>
                <w:color w:val="auto"/>
                <w:kern w:val="0"/>
                <w:sz w:val="18"/>
                <w:szCs w:val="18"/>
                <w:u w:val="none"/>
                <w:lang w:val="en-US" w:eastAsia="zh-CN" w:bidi="ar"/>
              </w:rPr>
              <w:t>检查、化验</w:t>
            </w:r>
            <w:r>
              <w:rPr>
                <w:rFonts w:hint="default" w:ascii="Times New Roman" w:hAnsi="Times New Roman" w:eastAsia="宋体" w:cs="Times New Roman"/>
                <w:i w:val="0"/>
                <w:iCs w:val="0"/>
                <w:color w:val="auto"/>
                <w:kern w:val="0"/>
                <w:sz w:val="18"/>
                <w:szCs w:val="18"/>
                <w:u w:val="none"/>
                <w:lang w:val="en-US" w:eastAsia="zh-CN" w:bidi="ar"/>
              </w:rPr>
              <w:t>收入）占比</w:t>
            </w:r>
            <w:r>
              <w:rPr>
                <w:rFonts w:hint="eastAsia" w:ascii="Times New Roman" w:hAnsi="Times New Roman" w:cs="Times New Roman"/>
                <w:i w:val="0"/>
                <w:iCs w:val="0"/>
                <w:color w:val="auto"/>
                <w:kern w:val="0"/>
                <w:sz w:val="18"/>
                <w:szCs w:val="18"/>
                <w:u w:val="none"/>
                <w:lang w:val="en-US" w:eastAsia="zh-CN" w:bidi="ar"/>
              </w:rPr>
              <w:t>增长</w:t>
            </w:r>
            <w:r>
              <w:rPr>
                <w:rFonts w:hint="default" w:ascii="Times New Roman" w:hAnsi="Times New Roman" w:eastAsia="宋体" w:cs="Times New Roman"/>
                <w:i w:val="0"/>
                <w:iCs w:val="0"/>
                <w:color w:val="auto"/>
                <w:kern w:val="0"/>
                <w:sz w:val="18"/>
                <w:szCs w:val="18"/>
                <w:u w:val="none"/>
                <w:lang w:val="en-US" w:eastAsia="zh-CN" w:bidi="ar"/>
              </w:rPr>
              <w:t>则可启动调价。</w:t>
            </w:r>
          </w:p>
        </w:tc>
        <w:tc>
          <w:tcPr>
            <w:tcW w:w="548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numPr>
                <w:ilvl w:val="0"/>
                <w:numId w:val="0"/>
              </w:numPr>
              <w:suppressLineNumbers w:val="0"/>
              <w:ind w:leftChars="0"/>
              <w:jc w:val="left"/>
              <w:textAlignment w:val="center"/>
              <w:rPr>
                <w:rFonts w:hint="eastAsia" w:ascii="Times New Roman" w:hAnsi="Times New Roman"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1.评估年度检查、化验收入占比增长=评估年度检查、化验收入占医疗收入比例</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Times New Roman" w:hAnsi="Times New Roman" w:cs="Times New Roman"/>
                <w:i w:val="0"/>
                <w:iCs w:val="0"/>
                <w:color w:val="auto"/>
                <w:kern w:val="0"/>
                <w:sz w:val="18"/>
                <w:szCs w:val="18"/>
                <w:u w:val="none"/>
                <w:lang w:val="en-US" w:eastAsia="zh-CN" w:bidi="ar"/>
              </w:rPr>
              <w:t>评估上一年度检查、化验收入占医疗收入比例。</w:t>
            </w:r>
          </w:p>
          <w:p>
            <w:pPr>
              <w:keepNext w:val="0"/>
              <w:keepLines w:val="0"/>
              <w:widowControl/>
              <w:numPr>
                <w:ilvl w:val="0"/>
                <w:numId w:val="0"/>
              </w:numPr>
              <w:suppressLineNumbers w:val="0"/>
              <w:ind w:left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2.</w:t>
            </w:r>
            <w:r>
              <w:rPr>
                <w:rFonts w:hint="default" w:ascii="Times New Roman" w:hAnsi="Times New Roman" w:eastAsia="宋体" w:cs="Times New Roman"/>
                <w:i w:val="0"/>
                <w:iCs w:val="0"/>
                <w:color w:val="auto"/>
                <w:kern w:val="0"/>
                <w:sz w:val="18"/>
                <w:szCs w:val="18"/>
                <w:u w:val="none"/>
                <w:lang w:val="en-US" w:eastAsia="zh-CN" w:bidi="ar"/>
              </w:rPr>
              <w:t>医疗服务收入（不含药品、耗材、</w:t>
            </w:r>
            <w:r>
              <w:rPr>
                <w:rFonts w:hint="eastAsia" w:ascii="Times New Roman" w:hAnsi="Times New Roman" w:cs="Times New Roman"/>
                <w:i w:val="0"/>
                <w:iCs w:val="0"/>
                <w:color w:val="auto"/>
                <w:kern w:val="0"/>
                <w:sz w:val="18"/>
                <w:szCs w:val="18"/>
                <w:u w:val="none"/>
                <w:lang w:val="en-US" w:eastAsia="zh-CN" w:bidi="ar"/>
              </w:rPr>
              <w:t>检查、化验</w:t>
            </w:r>
            <w:r>
              <w:rPr>
                <w:rFonts w:hint="default" w:ascii="Times New Roman" w:hAnsi="Times New Roman" w:eastAsia="宋体" w:cs="Times New Roman"/>
                <w:i w:val="0"/>
                <w:iCs w:val="0"/>
                <w:color w:val="auto"/>
                <w:kern w:val="0"/>
                <w:sz w:val="18"/>
                <w:szCs w:val="18"/>
                <w:u w:val="none"/>
                <w:lang w:val="en-US" w:eastAsia="zh-CN" w:bidi="ar"/>
              </w:rPr>
              <w:t>收入）占比</w:t>
            </w:r>
            <w:r>
              <w:rPr>
                <w:rFonts w:hint="eastAsia" w:ascii="Times New Roman" w:hAnsi="Times New Roman" w:cs="Times New Roman"/>
                <w:i w:val="0"/>
                <w:iCs w:val="0"/>
                <w:color w:val="auto"/>
                <w:kern w:val="0"/>
                <w:sz w:val="18"/>
                <w:szCs w:val="18"/>
                <w:u w:val="none"/>
                <w:lang w:val="en-US" w:eastAsia="zh-CN" w:bidi="ar"/>
              </w:rPr>
              <w:t>增长=评估年度</w:t>
            </w:r>
            <w:r>
              <w:rPr>
                <w:rFonts w:hint="default" w:ascii="Times New Roman" w:hAnsi="Times New Roman" w:eastAsia="宋体" w:cs="Times New Roman"/>
                <w:i w:val="0"/>
                <w:iCs w:val="0"/>
                <w:color w:val="auto"/>
                <w:kern w:val="0"/>
                <w:sz w:val="18"/>
                <w:szCs w:val="18"/>
                <w:u w:val="none"/>
                <w:lang w:val="en-US" w:eastAsia="zh-CN" w:bidi="ar"/>
              </w:rPr>
              <w:t>医疗服务收入（不含药品、耗材、</w:t>
            </w:r>
            <w:r>
              <w:rPr>
                <w:rFonts w:hint="eastAsia" w:ascii="Times New Roman" w:hAnsi="Times New Roman" w:cs="Times New Roman"/>
                <w:i w:val="0"/>
                <w:iCs w:val="0"/>
                <w:color w:val="auto"/>
                <w:kern w:val="0"/>
                <w:sz w:val="18"/>
                <w:szCs w:val="18"/>
                <w:u w:val="none"/>
                <w:lang w:val="en-US" w:eastAsia="zh-CN" w:bidi="ar"/>
              </w:rPr>
              <w:t>检查、化验</w:t>
            </w:r>
            <w:r>
              <w:rPr>
                <w:rFonts w:hint="default" w:ascii="Times New Roman" w:hAnsi="Times New Roman" w:eastAsia="宋体" w:cs="Times New Roman"/>
                <w:i w:val="0"/>
                <w:iCs w:val="0"/>
                <w:color w:val="auto"/>
                <w:kern w:val="0"/>
                <w:sz w:val="18"/>
                <w:szCs w:val="18"/>
                <w:u w:val="none"/>
                <w:lang w:val="en-US" w:eastAsia="zh-CN" w:bidi="ar"/>
              </w:rPr>
              <w:t>收入）占医疗收入比</w:t>
            </w:r>
            <w:r>
              <w:rPr>
                <w:rFonts w:hint="eastAsia" w:ascii="Times New Roman" w:hAnsi="Times New Roman" w:cs="Times New Roman"/>
                <w:i w:val="0"/>
                <w:iCs w:val="0"/>
                <w:color w:val="auto"/>
                <w:kern w:val="0"/>
                <w:sz w:val="18"/>
                <w:szCs w:val="18"/>
                <w:u w:val="none"/>
                <w:lang w:val="en-US" w:eastAsia="zh-CN" w:bidi="ar"/>
              </w:rPr>
              <w:t>例</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Times New Roman" w:hAnsi="Times New Roman" w:cs="Times New Roman"/>
                <w:i w:val="0"/>
                <w:iCs w:val="0"/>
                <w:color w:val="auto"/>
                <w:kern w:val="0"/>
                <w:sz w:val="18"/>
                <w:szCs w:val="18"/>
                <w:u w:val="none"/>
                <w:lang w:val="en-US" w:eastAsia="zh-CN" w:bidi="ar"/>
              </w:rPr>
              <w:t>评估上一年度医疗服务收入占医疗收入比例。</w:t>
            </w:r>
          </w:p>
        </w:tc>
      </w:tr>
      <w:tr>
        <w:tblPrEx>
          <w:tblCellMar>
            <w:top w:w="0" w:type="dxa"/>
            <w:left w:w="108" w:type="dxa"/>
            <w:bottom w:w="0" w:type="dxa"/>
            <w:right w:w="108" w:type="dxa"/>
          </w:tblCellMar>
        </w:tblPrEx>
        <w:trPr>
          <w:trHeight w:val="1077" w:hRule="atLeast"/>
          <w:jc w:val="center"/>
        </w:trPr>
        <w:tc>
          <w:tcPr>
            <w:tcW w:w="766" w:type="dxa"/>
            <w:vMerge w:val="continue"/>
            <w:tcBorders>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8"/>
                <w:szCs w:val="18"/>
                <w:u w:val="none"/>
              </w:rPr>
            </w:pPr>
          </w:p>
        </w:tc>
        <w:tc>
          <w:tcPr>
            <w:tcW w:w="745" w:type="dxa"/>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eastAsia" w:ascii="Times New Roman" w:hAnsi="Times New Roman" w:cs="Times New Roman"/>
                <w:b w:val="0"/>
                <w:bCs w:val="0"/>
                <w:i w:val="0"/>
                <w:iCs w:val="0"/>
                <w:color w:val="auto"/>
                <w:sz w:val="18"/>
                <w:szCs w:val="18"/>
                <w:u w:val="none"/>
                <w:lang w:val="en-US" w:eastAsia="zh-CN"/>
              </w:rPr>
              <w:t>3</w:t>
            </w:r>
          </w:p>
        </w:tc>
        <w:tc>
          <w:tcPr>
            <w:tcW w:w="220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cs="Times New Roman"/>
                <w:b w:val="0"/>
                <w:bCs w:val="0"/>
                <w:i w:val="0"/>
                <w:iCs w:val="0"/>
                <w:color w:val="auto"/>
                <w:kern w:val="0"/>
                <w:sz w:val="18"/>
                <w:szCs w:val="18"/>
                <w:u w:val="none"/>
                <w:lang w:val="en-US" w:eastAsia="zh-CN" w:bidi="ar"/>
              </w:rPr>
              <w:t>患者</w:t>
            </w:r>
            <w:r>
              <w:rPr>
                <w:rFonts w:hint="default" w:ascii="Times New Roman" w:hAnsi="Times New Roman" w:eastAsia="宋体" w:cs="Times New Roman"/>
                <w:b w:val="0"/>
                <w:bCs w:val="0"/>
                <w:i w:val="0"/>
                <w:iCs w:val="0"/>
                <w:color w:val="auto"/>
                <w:kern w:val="0"/>
                <w:sz w:val="18"/>
                <w:szCs w:val="18"/>
                <w:u w:val="none"/>
                <w:lang w:val="en-US" w:eastAsia="zh-CN" w:bidi="ar"/>
              </w:rPr>
              <w:t>医疗费用增幅</w:t>
            </w:r>
            <w:r>
              <w:rPr>
                <w:rFonts w:hint="eastAsia" w:ascii="Times New Roman" w:hAnsi="Times New Roman" w:cs="Times New Roman"/>
                <w:b w:val="0"/>
                <w:bCs w:val="0"/>
                <w:i w:val="0"/>
                <w:iCs w:val="0"/>
                <w:color w:val="auto"/>
                <w:kern w:val="0"/>
                <w:sz w:val="18"/>
                <w:szCs w:val="18"/>
                <w:u w:val="none"/>
                <w:lang w:val="en-US" w:eastAsia="zh-CN" w:bidi="ar"/>
              </w:rPr>
              <w:t>（%）</w:t>
            </w:r>
          </w:p>
        </w:tc>
        <w:tc>
          <w:tcPr>
            <w:tcW w:w="4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评估年度</w:t>
            </w:r>
            <w:r>
              <w:rPr>
                <w:rFonts w:hint="eastAsia" w:ascii="Times New Roman" w:hAnsi="Times New Roman" w:cs="Times New Roman"/>
                <w:i w:val="0"/>
                <w:iCs w:val="0"/>
                <w:color w:val="auto"/>
                <w:kern w:val="0"/>
                <w:sz w:val="18"/>
                <w:szCs w:val="18"/>
                <w:u w:val="none"/>
                <w:lang w:val="en-US" w:eastAsia="zh-CN" w:bidi="ar"/>
              </w:rPr>
              <w:t>地区公立医疗机构患者医疗费用</w:t>
            </w:r>
            <w:r>
              <w:rPr>
                <w:rFonts w:hint="default" w:ascii="Times New Roman" w:hAnsi="Times New Roman" w:eastAsia="宋体" w:cs="Times New Roman"/>
                <w:i w:val="0"/>
                <w:iCs w:val="0"/>
                <w:color w:val="auto"/>
                <w:kern w:val="0"/>
                <w:sz w:val="18"/>
                <w:szCs w:val="18"/>
                <w:u w:val="none"/>
                <w:lang w:val="en-US" w:eastAsia="zh-CN" w:bidi="ar"/>
              </w:rPr>
              <w:t>增幅</w:t>
            </w:r>
            <w:r>
              <w:rPr>
                <w:rFonts w:hint="eastAsia" w:ascii="Times New Roman" w:hAnsi="Times New Roman" w:cs="Times New Roman"/>
                <w:i w:val="0"/>
                <w:iCs w:val="0"/>
                <w:color w:val="auto"/>
                <w:kern w:val="0"/>
                <w:sz w:val="18"/>
                <w:szCs w:val="18"/>
                <w:u w:val="none"/>
                <w:lang w:val="en-US" w:eastAsia="zh-CN" w:bidi="ar"/>
              </w:rPr>
              <w:t>在不超过控制目标的前提下，</w:t>
            </w:r>
            <w:r>
              <w:rPr>
                <w:rFonts w:hint="default" w:ascii="Times New Roman" w:hAnsi="Times New Roman" w:eastAsia="宋体" w:cs="Times New Roman"/>
                <w:i w:val="0"/>
                <w:iCs w:val="0"/>
                <w:color w:val="auto"/>
                <w:kern w:val="0"/>
                <w:sz w:val="18"/>
                <w:szCs w:val="18"/>
                <w:u w:val="none"/>
                <w:lang w:val="en-US" w:eastAsia="zh-CN" w:bidi="ar"/>
              </w:rPr>
              <w:t>低于本地区城乡居民收入增幅或社会平均工资增幅则可启动调价。</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(评估年度</w:t>
            </w:r>
            <w:r>
              <w:rPr>
                <w:rFonts w:hint="eastAsia" w:ascii="Times New Roman" w:hAnsi="Times New Roman" w:cs="Times New Roman"/>
                <w:i w:val="0"/>
                <w:iCs w:val="0"/>
                <w:color w:val="auto"/>
                <w:kern w:val="0"/>
                <w:sz w:val="18"/>
                <w:szCs w:val="18"/>
                <w:u w:val="none"/>
                <w:lang w:val="en-US" w:eastAsia="zh-CN" w:bidi="ar"/>
              </w:rPr>
              <w:t>患者</w:t>
            </w:r>
            <w:r>
              <w:rPr>
                <w:rFonts w:hint="default" w:ascii="Times New Roman" w:hAnsi="Times New Roman" w:eastAsia="宋体" w:cs="Times New Roman"/>
                <w:i w:val="0"/>
                <w:iCs w:val="0"/>
                <w:color w:val="auto"/>
                <w:kern w:val="0"/>
                <w:sz w:val="18"/>
                <w:szCs w:val="18"/>
                <w:u w:val="none"/>
                <w:lang w:val="en-US" w:eastAsia="zh-CN" w:bidi="ar"/>
              </w:rPr>
              <w:t>医疗费用-上一年度</w:t>
            </w:r>
            <w:r>
              <w:rPr>
                <w:rFonts w:hint="eastAsia" w:ascii="Times New Roman" w:hAnsi="Times New Roman" w:cs="Times New Roman"/>
                <w:i w:val="0"/>
                <w:iCs w:val="0"/>
                <w:color w:val="auto"/>
                <w:kern w:val="0"/>
                <w:sz w:val="18"/>
                <w:szCs w:val="18"/>
                <w:u w:val="none"/>
                <w:lang w:val="en-US" w:eastAsia="zh-CN" w:bidi="ar"/>
              </w:rPr>
              <w:t>患者</w:t>
            </w:r>
            <w:r>
              <w:rPr>
                <w:rFonts w:hint="default" w:ascii="Times New Roman" w:hAnsi="Times New Roman" w:eastAsia="宋体" w:cs="Times New Roman"/>
                <w:i w:val="0"/>
                <w:iCs w:val="0"/>
                <w:color w:val="auto"/>
                <w:kern w:val="0"/>
                <w:sz w:val="18"/>
                <w:szCs w:val="18"/>
                <w:u w:val="none"/>
                <w:lang w:val="en-US" w:eastAsia="zh-CN" w:bidi="ar"/>
              </w:rPr>
              <w:t>医疗费用) / 上一年度</w:t>
            </w:r>
            <w:r>
              <w:rPr>
                <w:rFonts w:hint="eastAsia" w:ascii="Times New Roman" w:hAnsi="Times New Roman" w:cs="Times New Roman"/>
                <w:i w:val="0"/>
                <w:iCs w:val="0"/>
                <w:color w:val="auto"/>
                <w:kern w:val="0"/>
                <w:sz w:val="18"/>
                <w:szCs w:val="18"/>
                <w:u w:val="none"/>
                <w:lang w:val="en-US" w:eastAsia="zh-CN" w:bidi="ar"/>
              </w:rPr>
              <w:t>患者</w:t>
            </w:r>
            <w:r>
              <w:rPr>
                <w:rFonts w:hint="default" w:ascii="Times New Roman" w:hAnsi="Times New Roman" w:eastAsia="宋体" w:cs="Times New Roman"/>
                <w:i w:val="0"/>
                <w:iCs w:val="0"/>
                <w:color w:val="auto"/>
                <w:kern w:val="0"/>
                <w:sz w:val="18"/>
                <w:szCs w:val="18"/>
                <w:u w:val="none"/>
                <w:lang w:val="en-US" w:eastAsia="zh-CN" w:bidi="ar"/>
              </w:rPr>
              <w:t>医疗费用×100%</w:t>
            </w:r>
            <w:r>
              <w:rPr>
                <w:rFonts w:hint="eastAsia" w:ascii="Times New Roman" w:hAnsi="Times New Roman" w:cs="Times New Roman"/>
                <w:i w:val="0"/>
                <w:iCs w:val="0"/>
                <w:color w:val="auto"/>
                <w:kern w:val="0"/>
                <w:sz w:val="18"/>
                <w:szCs w:val="18"/>
                <w:u w:val="none"/>
                <w:lang w:val="en-US" w:eastAsia="zh-CN" w:bidi="ar"/>
              </w:rPr>
              <w:t>。</w:t>
            </w:r>
          </w:p>
          <w:p>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控制目标按政府文件要求。</w:t>
            </w:r>
          </w:p>
        </w:tc>
      </w:tr>
      <w:tr>
        <w:tblPrEx>
          <w:tblCellMar>
            <w:top w:w="0" w:type="dxa"/>
            <w:left w:w="108" w:type="dxa"/>
            <w:bottom w:w="0" w:type="dxa"/>
            <w:right w:w="108" w:type="dxa"/>
          </w:tblCellMar>
        </w:tblPrEx>
        <w:trPr>
          <w:trHeight w:val="892" w:hRule="atLeast"/>
          <w:jc w:val="center"/>
        </w:trPr>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p>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约</w:t>
            </w:r>
          </w:p>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束</w:t>
            </w:r>
          </w:p>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指</w:t>
            </w:r>
          </w:p>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标</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eastAsia" w:ascii="Times New Roman" w:hAnsi="Times New Roman" w:cs="Times New Roman"/>
                <w:b w:val="0"/>
                <w:bCs w:val="0"/>
                <w:i w:val="0"/>
                <w:iCs w:val="0"/>
                <w:color w:val="auto"/>
                <w:sz w:val="18"/>
                <w:szCs w:val="18"/>
                <w:u w:val="none"/>
                <w:lang w:val="en-US" w:eastAsia="zh-CN"/>
              </w:rPr>
              <w:t>4</w:t>
            </w:r>
          </w:p>
        </w:tc>
        <w:tc>
          <w:tcPr>
            <w:tcW w:w="2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居民消费价格指数</w:t>
            </w:r>
          </w:p>
        </w:tc>
        <w:tc>
          <w:tcPr>
            <w:tcW w:w="48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评估年度</w:t>
            </w:r>
            <w:r>
              <w:rPr>
                <w:rFonts w:hint="eastAsia" w:ascii="Times New Roman" w:hAnsi="Times New Roman" w:cs="Times New Roman"/>
                <w:i w:val="0"/>
                <w:iCs w:val="0"/>
                <w:color w:val="auto"/>
                <w:kern w:val="0"/>
                <w:sz w:val="18"/>
                <w:szCs w:val="18"/>
                <w:u w:val="none"/>
                <w:lang w:val="en-US" w:eastAsia="zh-CN" w:bidi="ar"/>
              </w:rPr>
              <w:t>区域</w:t>
            </w:r>
            <w:r>
              <w:rPr>
                <w:rFonts w:hint="default" w:ascii="Times New Roman" w:hAnsi="Times New Roman" w:eastAsia="宋体" w:cs="Times New Roman"/>
                <w:i w:val="0"/>
                <w:iCs w:val="0"/>
                <w:color w:val="auto"/>
                <w:kern w:val="0"/>
                <w:sz w:val="18"/>
                <w:szCs w:val="18"/>
                <w:u w:val="none"/>
                <w:lang w:val="en-US" w:eastAsia="zh-CN" w:bidi="ar"/>
              </w:rPr>
              <w:t>居民消费价格指数增幅超过预期调控目标。</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CPI=（一组固定商品按当期价格计算的价值除以一组固定商品按基期价格计算的价值）×100%。以评估年度年政府公开调控指标为依据。</w:t>
            </w:r>
          </w:p>
        </w:tc>
      </w:tr>
      <w:tr>
        <w:tblPrEx>
          <w:tblCellMar>
            <w:top w:w="0" w:type="dxa"/>
            <w:left w:w="108" w:type="dxa"/>
            <w:bottom w:w="0" w:type="dxa"/>
            <w:right w:w="108" w:type="dxa"/>
          </w:tblCellMar>
        </w:tblPrEx>
        <w:trPr>
          <w:trHeight w:val="892"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i w:val="0"/>
                <w:iCs w:val="0"/>
                <w:color w:val="auto"/>
                <w:sz w:val="18"/>
                <w:szCs w:val="18"/>
                <w:u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eastAsia" w:ascii="Times New Roman" w:hAnsi="Times New Roman" w:cs="Times New Roman"/>
                <w:b w:val="0"/>
                <w:bCs w:val="0"/>
                <w:i w:val="0"/>
                <w:iCs w:val="0"/>
                <w:color w:val="auto"/>
                <w:sz w:val="18"/>
                <w:szCs w:val="18"/>
                <w:u w:val="none"/>
                <w:lang w:val="en-US" w:eastAsia="zh-CN"/>
              </w:rPr>
              <w:t>5</w:t>
            </w:r>
          </w:p>
        </w:tc>
        <w:tc>
          <w:tcPr>
            <w:tcW w:w="2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医保基金结余</w:t>
            </w:r>
          </w:p>
        </w:tc>
        <w:tc>
          <w:tcPr>
            <w:tcW w:w="48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符合以下其中一种情形：1.</w:t>
            </w:r>
            <w:r>
              <w:rPr>
                <w:rFonts w:hint="default" w:ascii="Times New Roman" w:hAnsi="Times New Roman" w:eastAsia="宋体" w:cs="Times New Roman"/>
                <w:i w:val="0"/>
                <w:iCs w:val="0"/>
                <w:color w:val="auto"/>
                <w:kern w:val="0"/>
                <w:sz w:val="18"/>
                <w:szCs w:val="18"/>
                <w:u w:val="none"/>
                <w:lang w:val="en-US" w:eastAsia="zh-CN" w:bidi="ar"/>
              </w:rPr>
              <w:t>区域内职工医保或居民医保统筹基金上一年度出现赤字</w:t>
            </w:r>
            <w:r>
              <w:rPr>
                <w:rFonts w:hint="eastAsia" w:ascii="Times New Roman" w:hAnsi="Times New Roman" w:cs="Times New Roman"/>
                <w:i w:val="0"/>
                <w:iCs w:val="0"/>
                <w:color w:val="auto"/>
                <w:kern w:val="0"/>
                <w:sz w:val="18"/>
                <w:szCs w:val="18"/>
                <w:u w:val="none"/>
                <w:lang w:val="en-US" w:eastAsia="zh-CN" w:bidi="ar"/>
              </w:rPr>
              <w:t>；2</w:t>
            </w:r>
            <w:r>
              <w:rPr>
                <w:rFonts w:hint="default" w:ascii="Times New Roman" w:hAnsi="Times New Roman" w:eastAsia="宋体" w:cs="Times New Roman"/>
                <w:i w:val="0"/>
                <w:iCs w:val="0"/>
                <w:color w:val="auto"/>
                <w:kern w:val="0"/>
                <w:sz w:val="18"/>
                <w:szCs w:val="18"/>
                <w:u w:val="none"/>
                <w:lang w:val="en-US" w:eastAsia="zh-CN" w:bidi="ar"/>
              </w:rPr>
              <w:t>职工医保或居民医保统筹基金上一年度累计结余可支付月数少于9个月</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按各地医保基金报表数据</w:t>
            </w:r>
            <w:r>
              <w:rPr>
                <w:rFonts w:hint="eastAsia" w:ascii="Times New Roman" w:hAnsi="Times New Roman" w:cs="Times New Roman"/>
                <w:i w:val="0"/>
                <w:iCs w:val="0"/>
                <w:color w:val="auto"/>
                <w:kern w:val="0"/>
                <w:sz w:val="18"/>
                <w:szCs w:val="18"/>
                <w:u w:val="none"/>
                <w:lang w:val="en-US" w:eastAsia="zh-CN" w:bidi="ar"/>
              </w:rPr>
              <w:t>统计</w:t>
            </w:r>
            <w:r>
              <w:rPr>
                <w:rFonts w:hint="eastAsia" w:ascii="Times New Roman" w:hAnsi="Times New Roman" w:eastAsia="宋体" w:cs="Times New Roman"/>
                <w:i w:val="0"/>
                <w:iCs w:val="0"/>
                <w:color w:val="auto"/>
                <w:kern w:val="0"/>
                <w:sz w:val="18"/>
                <w:szCs w:val="18"/>
                <w:u w:val="none"/>
                <w:lang w:val="en-US" w:eastAsia="zh-CN" w:bidi="ar"/>
              </w:rPr>
              <w:t>。</w:t>
            </w:r>
          </w:p>
        </w:tc>
      </w:tr>
      <w:tr>
        <w:tblPrEx>
          <w:tblCellMar>
            <w:top w:w="0" w:type="dxa"/>
            <w:left w:w="108" w:type="dxa"/>
            <w:bottom w:w="0" w:type="dxa"/>
            <w:right w:w="108" w:type="dxa"/>
          </w:tblCellMar>
        </w:tblPrEx>
        <w:trPr>
          <w:trHeight w:val="90"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i w:val="0"/>
                <w:iCs w:val="0"/>
                <w:color w:val="auto"/>
                <w:sz w:val="18"/>
                <w:szCs w:val="18"/>
                <w:u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eastAsia" w:ascii="Times New Roman" w:hAnsi="Times New Roman" w:cs="Times New Roman"/>
                <w:b w:val="0"/>
                <w:bCs w:val="0"/>
                <w:i w:val="0"/>
                <w:iCs w:val="0"/>
                <w:color w:val="auto"/>
                <w:sz w:val="18"/>
                <w:szCs w:val="18"/>
                <w:u w:val="none"/>
                <w:lang w:val="en-US" w:eastAsia="zh-CN"/>
              </w:rPr>
              <w:t>6</w:t>
            </w:r>
          </w:p>
        </w:tc>
        <w:tc>
          <w:tcPr>
            <w:tcW w:w="2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次均费用增幅（%）</w:t>
            </w:r>
          </w:p>
        </w:tc>
        <w:tc>
          <w:tcPr>
            <w:tcW w:w="48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评估年度</w:t>
            </w:r>
            <w:r>
              <w:rPr>
                <w:rFonts w:hint="eastAsia" w:ascii="Times New Roman" w:hAnsi="Times New Roman" w:cs="Times New Roman"/>
                <w:i w:val="0"/>
                <w:iCs w:val="0"/>
                <w:color w:val="auto"/>
                <w:kern w:val="0"/>
                <w:sz w:val="18"/>
                <w:szCs w:val="18"/>
                <w:u w:val="none"/>
                <w:lang w:val="en-US" w:eastAsia="zh-CN" w:bidi="ar"/>
              </w:rPr>
              <w:t>地区公立医疗机构</w:t>
            </w:r>
            <w:r>
              <w:rPr>
                <w:rFonts w:hint="default" w:ascii="Times New Roman" w:hAnsi="Times New Roman" w:eastAsia="宋体" w:cs="Times New Roman"/>
                <w:i w:val="0"/>
                <w:iCs w:val="0"/>
                <w:color w:val="auto"/>
                <w:kern w:val="0"/>
                <w:sz w:val="18"/>
                <w:szCs w:val="18"/>
                <w:u w:val="none"/>
                <w:lang w:val="en-US" w:eastAsia="zh-CN" w:bidi="ar"/>
              </w:rPr>
              <w:t>门诊病人</w:t>
            </w:r>
            <w:r>
              <w:rPr>
                <w:rFonts w:hint="eastAsia" w:ascii="Times New Roman" w:hAnsi="Times New Roman" w:cs="Times New Roman"/>
                <w:i w:val="0"/>
                <w:iCs w:val="0"/>
                <w:color w:val="auto"/>
                <w:kern w:val="0"/>
                <w:sz w:val="18"/>
                <w:szCs w:val="18"/>
                <w:u w:val="none"/>
                <w:lang w:val="en-US" w:eastAsia="zh-CN" w:bidi="ar"/>
              </w:rPr>
              <w:t>或</w:t>
            </w:r>
            <w:r>
              <w:rPr>
                <w:rFonts w:hint="default" w:ascii="Times New Roman" w:hAnsi="Times New Roman" w:eastAsia="宋体" w:cs="Times New Roman"/>
                <w:i w:val="0"/>
                <w:iCs w:val="0"/>
                <w:color w:val="auto"/>
                <w:kern w:val="0"/>
                <w:sz w:val="18"/>
                <w:szCs w:val="18"/>
                <w:u w:val="none"/>
                <w:lang w:val="en-US" w:eastAsia="zh-CN" w:bidi="ar"/>
              </w:rPr>
              <w:t>住院病人次均费用增幅高于预期控制目标。</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1.</w:t>
            </w:r>
            <w:r>
              <w:rPr>
                <w:rFonts w:hint="default" w:ascii="Times New Roman" w:hAnsi="Times New Roman" w:eastAsia="宋体" w:cs="Times New Roman"/>
                <w:i w:val="0"/>
                <w:iCs w:val="0"/>
                <w:color w:val="auto"/>
                <w:kern w:val="0"/>
                <w:sz w:val="18"/>
                <w:szCs w:val="18"/>
                <w:u w:val="none"/>
                <w:lang w:val="en-US" w:eastAsia="zh-CN" w:bidi="ar"/>
              </w:rPr>
              <w:t>门诊次均费用增幅 = （评估年度门诊患者次均费用 －上一年度门诊患者次均费用）/上一年度门诊患者次均费用× 100%</w:t>
            </w:r>
          </w:p>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门诊患者次均费用 = 门诊收入/门诊人次数</w:t>
            </w:r>
          </w:p>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2.</w:t>
            </w:r>
            <w:r>
              <w:rPr>
                <w:rFonts w:hint="default" w:ascii="Times New Roman" w:hAnsi="Times New Roman" w:eastAsia="宋体" w:cs="Times New Roman"/>
                <w:i w:val="0"/>
                <w:iCs w:val="0"/>
                <w:color w:val="auto"/>
                <w:kern w:val="0"/>
                <w:sz w:val="18"/>
                <w:szCs w:val="18"/>
                <w:u w:val="none"/>
                <w:lang w:val="en-US" w:eastAsia="zh-CN" w:bidi="ar"/>
              </w:rPr>
              <w:t>住院次均费用增幅 = （评估年度出院患者次均费用－上一年度出院患者次均费用）/上一年度出院患者次均费用× 100%</w:t>
            </w:r>
          </w:p>
          <w:p>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出院患者次均费用 = 出院患者住院费用/出院人次数</w:t>
            </w:r>
            <w:r>
              <w:rPr>
                <w:rFonts w:hint="eastAsia" w:ascii="Times New Roman" w:hAnsi="Times New Roman" w:cs="Times New Roman"/>
                <w:i w:val="0"/>
                <w:iCs w:val="0"/>
                <w:color w:val="auto"/>
                <w:kern w:val="0"/>
                <w:sz w:val="18"/>
                <w:szCs w:val="18"/>
                <w:u w:val="none"/>
                <w:lang w:val="en-US" w:eastAsia="zh-CN" w:bidi="ar"/>
              </w:rPr>
              <w:t>。</w:t>
            </w:r>
          </w:p>
        </w:tc>
      </w:tr>
    </w:tbl>
    <w:p>
      <w:pPr>
        <w:rPr>
          <w:rFonts w:ascii="Calibri" w:hAnsi="Calibri" w:eastAsia="宋体" w:cs="Times New Roman"/>
          <w:color w:val="auto"/>
          <w:kern w:val="2"/>
          <w:sz w:val="18"/>
          <w:szCs w:val="18"/>
          <w:lang w:val="en-US" w:eastAsia="zh-CN" w:bidi="ar-SA"/>
        </w:rPr>
      </w:pPr>
    </w:p>
    <w:p>
      <w:pPr>
        <w:tabs>
          <w:tab w:val="left" w:pos="1652"/>
        </w:tabs>
        <w:ind w:left="960" w:leftChars="200" w:hanging="540" w:hangingChars="300"/>
        <w:jc w:val="left"/>
        <w:rPr>
          <w:rFonts w:hint="eastAsia"/>
          <w:color w:val="auto"/>
          <w:sz w:val="18"/>
          <w:szCs w:val="18"/>
          <w:lang w:val="en-US" w:eastAsia="zh-CN"/>
        </w:rPr>
      </w:pPr>
      <w:r>
        <w:rPr>
          <w:rFonts w:hint="eastAsia"/>
          <w:color w:val="auto"/>
          <w:sz w:val="18"/>
          <w:szCs w:val="18"/>
          <w:lang w:val="en-US" w:eastAsia="zh-CN"/>
        </w:rPr>
        <w:t>注：1.相关指标标准依次按照国家级、省级、地市级相关政策及公开文件提出的要求执行；如评估年度无控制指标的，以上一个有控制指标的年度所提出的控制指标为准。</w:t>
      </w:r>
    </w:p>
    <w:p>
      <w:pPr>
        <w:pStyle w:val="2"/>
        <w:spacing w:after="0"/>
        <w:rPr>
          <w:rFonts w:hint="default"/>
          <w:color w:val="auto"/>
          <w:sz w:val="18"/>
          <w:szCs w:val="18"/>
          <w:lang w:val="en-US" w:eastAsia="zh-CN"/>
        </w:rPr>
        <w:sectPr>
          <w:pgSz w:w="16838" w:h="11906" w:orient="landscape"/>
          <w:pgMar w:top="896" w:right="822" w:bottom="896" w:left="901" w:header="851" w:footer="992" w:gutter="0"/>
          <w:cols w:space="720" w:num="1"/>
          <w:docGrid w:type="lines" w:linePitch="312" w:charSpace="0"/>
        </w:sectPr>
      </w:pPr>
      <w:r>
        <w:rPr>
          <w:rFonts w:hint="eastAsia"/>
          <w:color w:val="auto"/>
          <w:sz w:val="18"/>
          <w:szCs w:val="18"/>
          <w:lang w:val="en-US" w:eastAsia="zh-CN"/>
        </w:rPr>
        <w:t xml:space="preserve">         2.相关卫生指标涉及统计年鉴数据或不同数据有差异时，依次以卫生健康统计年鉴、统计年鉴、卫健委书面提供的数据为准。</w:t>
      </w:r>
    </w:p>
    <w:p>
      <w:pPr>
        <w:pStyle w:val="2"/>
        <w:rPr>
          <w:rFonts w:hint="default"/>
          <w:color w:val="auto"/>
          <w:lang w:val="en-US" w:eastAsia="zh-CN"/>
        </w:rPr>
      </w:pP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C2064"/>
    <w:rsid w:val="05290F8D"/>
    <w:rsid w:val="05F517EC"/>
    <w:rsid w:val="067B02AF"/>
    <w:rsid w:val="0745280C"/>
    <w:rsid w:val="0D340DD9"/>
    <w:rsid w:val="0D887046"/>
    <w:rsid w:val="0EEA3071"/>
    <w:rsid w:val="1698045E"/>
    <w:rsid w:val="17202035"/>
    <w:rsid w:val="1E490225"/>
    <w:rsid w:val="1ED90E3E"/>
    <w:rsid w:val="1EFF7BC3"/>
    <w:rsid w:val="25245984"/>
    <w:rsid w:val="25811812"/>
    <w:rsid w:val="2A4C26AF"/>
    <w:rsid w:val="2AA71E1F"/>
    <w:rsid w:val="2CD16D39"/>
    <w:rsid w:val="2E6675E1"/>
    <w:rsid w:val="302D54CB"/>
    <w:rsid w:val="343C1486"/>
    <w:rsid w:val="361B4B39"/>
    <w:rsid w:val="363F79D5"/>
    <w:rsid w:val="39F93F46"/>
    <w:rsid w:val="3C3C62F8"/>
    <w:rsid w:val="3D155574"/>
    <w:rsid w:val="3D3A0573"/>
    <w:rsid w:val="3EAB0813"/>
    <w:rsid w:val="42266B9A"/>
    <w:rsid w:val="48645BC8"/>
    <w:rsid w:val="4C702947"/>
    <w:rsid w:val="51854515"/>
    <w:rsid w:val="525030F5"/>
    <w:rsid w:val="55411970"/>
    <w:rsid w:val="57A41118"/>
    <w:rsid w:val="58261180"/>
    <w:rsid w:val="59046AFF"/>
    <w:rsid w:val="5DD670A7"/>
    <w:rsid w:val="5E86039C"/>
    <w:rsid w:val="5F8739BD"/>
    <w:rsid w:val="5FFBD8DC"/>
    <w:rsid w:val="61C81277"/>
    <w:rsid w:val="61DA2266"/>
    <w:rsid w:val="61DC00E7"/>
    <w:rsid w:val="663D47EE"/>
    <w:rsid w:val="68B16368"/>
    <w:rsid w:val="6AC16A46"/>
    <w:rsid w:val="6E995E67"/>
    <w:rsid w:val="768E0E13"/>
    <w:rsid w:val="79772A87"/>
    <w:rsid w:val="79C13E75"/>
    <w:rsid w:val="7B3B644D"/>
    <w:rsid w:val="7BBB79BB"/>
    <w:rsid w:val="7DB242EC"/>
    <w:rsid w:val="7FBF21AA"/>
    <w:rsid w:val="EA6B9603"/>
    <w:rsid w:val="FBDBBD62"/>
    <w:rsid w:val="FF0FCC06"/>
    <w:rsid w:val="FFFD45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font11"/>
    <w:basedOn w:val="7"/>
    <w:qFormat/>
    <w:uiPriority w:val="0"/>
    <w:rPr>
      <w:rFonts w:hint="eastAsia" w:ascii="宋体" w:hAnsi="宋体" w:eastAsia="宋体" w:cs="宋体"/>
      <w:color w:val="000000"/>
      <w:sz w:val="18"/>
      <w:szCs w:val="18"/>
      <w:u w:val="none"/>
    </w:rPr>
  </w:style>
  <w:style w:type="character" w:customStyle="1" w:styleId="10">
    <w:name w:val="font21"/>
    <w:basedOn w:val="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李华润</cp:lastModifiedBy>
  <dcterms:modified xsi:type="dcterms:W3CDTF">2022-04-21T08:10:11Z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close">
    <vt:lpwstr>true</vt:lpwstr>
  </property>
  <property fmtid="{D5CDD505-2E9C-101B-9397-08002B2CF9AE}" pid="4" name="showFlag">
    <vt:bool>true</vt:bool>
  </property>
  <property fmtid="{D5CDD505-2E9C-101B-9397-08002B2CF9AE}" pid="5" name="userName">
    <vt:lpwstr>陈小玲</vt:lpwstr>
  </property>
</Properties>
</file>