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sz w:val="28"/>
          <w:szCs w:val="28"/>
        </w:rPr>
      </w:pPr>
      <w:bookmarkStart w:id="2" w:name="_GoBack"/>
      <w:bookmarkEnd w:id="2"/>
      <w:bookmarkStart w:id="0" w:name="_Toc2728"/>
      <w:bookmarkStart w:id="1" w:name="_Toc7190"/>
      <w:r>
        <w:rPr>
          <w:sz w:val="28"/>
          <w:szCs w:val="28"/>
        </w:rPr>
        <w:t>盐橘核配方颗粒</w:t>
      </w:r>
      <w:bookmarkEnd w:id="0"/>
      <w:bookmarkEnd w:id="1"/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YanJuhe Peifangkeli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【来源】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 xml:space="preserve">  </w:t>
      </w:r>
      <w:r>
        <w:rPr>
          <w:rFonts w:cs="Times New Roman"/>
          <w:sz w:val="24"/>
          <w:szCs w:val="24"/>
        </w:rPr>
        <w:t>本品为芸香科植物橘</w:t>
      </w:r>
      <w:r>
        <w:rPr>
          <w:rFonts w:hint="default" w:ascii="Times New Roman" w:hAnsi="Times New Roman" w:cs="Times New Roman"/>
          <w:i/>
          <w:sz w:val="24"/>
          <w:szCs w:val="24"/>
        </w:rPr>
        <w:t xml:space="preserve">Citrus reticulata </w:t>
      </w:r>
      <w:r>
        <w:rPr>
          <w:rFonts w:hint="default" w:ascii="Times New Roman" w:hAnsi="Times New Roman" w:cs="Times New Roman"/>
          <w:sz w:val="24"/>
          <w:szCs w:val="24"/>
        </w:rPr>
        <w:t>Blanco</w:t>
      </w:r>
      <w:r>
        <w:rPr>
          <w:rFonts w:cs="Times New Roman"/>
          <w:sz w:val="24"/>
          <w:szCs w:val="24"/>
        </w:rPr>
        <w:t>及其栽培变种的干燥成熟种子的炮制品</w:t>
      </w:r>
      <w:r>
        <w:rPr>
          <w:rFonts w:hint="default" w:cs="Times New Roman"/>
          <w:sz w:val="24"/>
          <w:szCs w:val="24"/>
        </w:rPr>
        <w:t>经加工</w:t>
      </w:r>
      <w:r>
        <w:rPr>
          <w:rFonts w:cs="Times New Roman"/>
          <w:sz w:val="24"/>
          <w:szCs w:val="24"/>
        </w:rPr>
        <w:t>并按标准汤剂的主要质量指标加工制成的配方颗粒。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cs="Times New Roman"/>
          <w:sz w:val="24"/>
          <w:szCs w:val="24"/>
          <w:highlight w:val="yellow"/>
        </w:rPr>
      </w:pPr>
      <w:r>
        <w:rPr>
          <w:rFonts w:hint="default" w:cs="Times New Roman"/>
          <w:b/>
          <w:color w:val="auto"/>
          <w:sz w:val="24"/>
          <w:szCs w:val="24"/>
        </w:rPr>
        <w:t>【制法】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 xml:space="preserve">  </w:t>
      </w:r>
      <w:r>
        <w:rPr>
          <w:rFonts w:hint="default" w:cs="Times New Roman"/>
          <w:sz w:val="24"/>
          <w:szCs w:val="24"/>
        </w:rPr>
        <w:t>取盐橘核饮片</w:t>
      </w:r>
      <w:r>
        <w:rPr>
          <w:rFonts w:hint="default" w:ascii="Times New Roman" w:hAnsi="Times New Roman" w:cs="Times New Roman"/>
          <w:sz w:val="24"/>
          <w:szCs w:val="24"/>
        </w:rPr>
        <w:t>4500g</w:t>
      </w:r>
      <w:r>
        <w:rPr>
          <w:rFonts w:hint="default" w:cs="Times New Roman"/>
          <w:sz w:val="24"/>
          <w:szCs w:val="24"/>
        </w:rPr>
        <w:t>，加水煎煮，滤过，滤液浓缩成清膏（干浸膏出膏率为</w:t>
      </w:r>
      <w:r>
        <w:rPr>
          <w:rFonts w:hint="default" w:ascii="Times New Roman" w:hAnsi="Times New Roman" w:cs="Times New Roman"/>
          <w:sz w:val="24"/>
          <w:szCs w:val="24"/>
        </w:rPr>
        <w:t>13%~21%</w:t>
      </w:r>
      <w:r>
        <w:rPr>
          <w:rFonts w:hint="default" w:cs="Times New Roman"/>
          <w:sz w:val="24"/>
          <w:szCs w:val="24"/>
        </w:rPr>
        <w:t>），加入辅料适量，干燥（或干燥，粉碎），再加入辅料适量，混匀，制粒，制成</w:t>
      </w:r>
      <w:r>
        <w:rPr>
          <w:rFonts w:hint="default" w:ascii="Times New Roman" w:hAnsi="Times New Roman" w:cs="Times New Roman"/>
          <w:sz w:val="24"/>
          <w:szCs w:val="24"/>
        </w:rPr>
        <w:t>1000g</w:t>
      </w:r>
      <w:r>
        <w:rPr>
          <w:rFonts w:hint="default" w:cs="Times New Roman"/>
          <w:sz w:val="24"/>
          <w:szCs w:val="24"/>
        </w:rPr>
        <w:t>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【性状】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cs="Times New Roman"/>
          <w:sz w:val="24"/>
          <w:szCs w:val="24"/>
        </w:rPr>
        <w:t>本品为</w:t>
      </w:r>
      <w:r>
        <w:rPr>
          <w:rFonts w:hint="default" w:cs="Times New Roman"/>
          <w:sz w:val="24"/>
          <w:szCs w:val="24"/>
        </w:rPr>
        <w:t>浅棕黄色至灰黄色</w:t>
      </w:r>
      <w:r>
        <w:rPr>
          <w:rFonts w:cs="Times New Roman"/>
          <w:sz w:val="24"/>
          <w:szCs w:val="24"/>
        </w:rPr>
        <w:t>颗粒；气微，味微苦。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【鉴别】</w:t>
      </w:r>
      <w:r>
        <w:rPr>
          <w:rFonts w:cs="Times New Roman"/>
          <w:sz w:val="24"/>
          <w:szCs w:val="24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取本品1g，研细，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加水20ml使溶解，用乙酸乙酯振摇提取2次，每次20ml，合并乙酸乙酯液，蒸干，</w:t>
      </w:r>
      <w:r>
        <w:rPr>
          <w:rFonts w:hint="default" w:ascii="Times New Roman" w:hAnsi="Times New Roman" w:cs="Times New Roman"/>
          <w:sz w:val="24"/>
          <w:szCs w:val="24"/>
        </w:rPr>
        <w:t>残渣加乙酸乙酯1ml使溶解，作为供试品溶液。另取橘核对照药材4g，加水100ml，煮沸30分钟，滤过，滤液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浓缩至20ml，用乙酸乙酯振摇提取，</w:t>
      </w:r>
      <w:r>
        <w:rPr>
          <w:rFonts w:hint="default" w:ascii="Times New Roman" w:hAnsi="Times New Roman" w:cs="Times New Roman"/>
          <w:sz w:val="24"/>
          <w:szCs w:val="24"/>
        </w:rPr>
        <w:t>同法制得对照药材溶液。照薄层色谱法（中国药典2020年版通则0502）试验，分别吸取供试品溶液2~10µl和对照药材溶液10µl，分别点于同一硅胶G薄层板上，以三氯甲烷-甲醇（15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∶</w:t>
      </w:r>
      <w:r>
        <w:rPr>
          <w:rFonts w:hint="default" w:ascii="Times New Roman" w:hAnsi="Times New Roman" w:cs="Times New Roman"/>
          <w:sz w:val="24"/>
          <w:szCs w:val="24"/>
        </w:rPr>
        <w:t>0.5）为展开剂，展开，取出，晾干，喷以10%硫酸乙醇溶液，在105℃加热至斑点显色清晰。供试品色谱中，在与对照药材色谱相应的位置上，显相同颜色的斑点。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cs="Times New Roman"/>
          <w:b/>
          <w:sz w:val="24"/>
          <w:szCs w:val="24"/>
        </w:rPr>
        <w:t>【</w:t>
      </w:r>
      <w:r>
        <w:rPr>
          <w:rFonts w:cs="Times New Roman"/>
          <w:b/>
          <w:bCs/>
          <w:sz w:val="24"/>
          <w:szCs w:val="24"/>
        </w:rPr>
        <w:t>检查</w:t>
      </w:r>
      <w:r>
        <w:rPr>
          <w:rFonts w:cs="Times New Roman"/>
          <w:b/>
          <w:sz w:val="24"/>
          <w:szCs w:val="24"/>
        </w:rPr>
        <w:t>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Cs/>
          <w:sz w:val="24"/>
          <w:szCs w:val="24"/>
        </w:rPr>
        <w:t>应符合颗粒剂项下有关的各项规定（</w:t>
      </w:r>
      <w:r>
        <w:rPr>
          <w:rFonts w:hint="default" w:ascii="Times New Roman" w:hAnsi="Times New Roman" w:cs="Times New Roman"/>
          <w:bCs/>
          <w:sz w:val="24"/>
          <w:szCs w:val="24"/>
          <w:lang w:eastAsia="zh-CN"/>
        </w:rPr>
        <w:t>中国药典2020</w:t>
      </w:r>
      <w:r>
        <w:rPr>
          <w:rFonts w:hint="default" w:ascii="Times New Roman" w:hAnsi="Times New Roman" w:cs="Times New Roman"/>
          <w:bCs/>
          <w:sz w:val="24"/>
          <w:szCs w:val="24"/>
        </w:rPr>
        <w:t>年版通则0104）。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cs="Times New Roman"/>
          <w:b/>
          <w:bCs/>
          <w:sz w:val="24"/>
          <w:szCs w:val="24"/>
        </w:rPr>
        <w:t>【浸出物】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取</w:t>
      </w:r>
      <w:r>
        <w:rPr>
          <w:rFonts w:hint="default" w:ascii="Times New Roman" w:hAnsi="Times New Roman" w:cs="Times New Roman"/>
          <w:kern w:val="0"/>
          <w:sz w:val="24"/>
          <w:szCs w:val="24"/>
        </w:rPr>
        <w:t>本品约2g，研细，</w:t>
      </w:r>
      <w:r>
        <w:rPr>
          <w:rFonts w:hint="default" w:ascii="Times New Roman" w:hAnsi="Times New Roman" w:cs="Times New Roman"/>
          <w:sz w:val="24"/>
          <w:szCs w:val="24"/>
        </w:rPr>
        <w:t>精密称定，精密加入乙醇100ml，照醇溶性浸出物测定法项下的热浸法（中国药典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2020</w:t>
      </w:r>
      <w:r>
        <w:rPr>
          <w:rFonts w:hint="default" w:ascii="Times New Roman" w:hAnsi="Times New Roman" w:cs="Times New Roman"/>
          <w:sz w:val="24"/>
          <w:szCs w:val="24"/>
        </w:rPr>
        <w:t>年版四部通则2201）测定，不得少于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.0%。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hint="default" w:ascii="Times New Roman" w:hAnsi="Times New Roman" w:cs="Times New Roman"/>
          <w:bCs/>
          <w:sz w:val="24"/>
          <w:szCs w:val="24"/>
        </w:rPr>
      </w:pPr>
      <w:r>
        <w:rPr>
          <w:rFonts w:cs="Times New Roman"/>
          <w:b/>
          <w:sz w:val="24"/>
          <w:szCs w:val="24"/>
        </w:rPr>
        <w:t>【特征图谱】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Cs/>
          <w:sz w:val="24"/>
          <w:szCs w:val="24"/>
        </w:rPr>
        <w:t>照高效液相色谱法（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中国药典2020</w:t>
      </w:r>
      <w:r>
        <w:rPr>
          <w:rFonts w:hint="default" w:ascii="Times New Roman" w:hAnsi="Times New Roman" w:cs="Times New Roman"/>
          <w:sz w:val="24"/>
          <w:szCs w:val="24"/>
        </w:rPr>
        <w:t>年版</w:t>
      </w:r>
      <w:r>
        <w:rPr>
          <w:rFonts w:hint="default" w:ascii="Times New Roman" w:hAnsi="Times New Roman" w:cs="Times New Roman"/>
          <w:bCs/>
          <w:sz w:val="24"/>
          <w:szCs w:val="24"/>
        </w:rPr>
        <w:t>通则0512）测定。</w:t>
      </w:r>
    </w:p>
    <w:p>
      <w:pPr>
        <w:keepNext w:val="0"/>
        <w:keepLines w:val="0"/>
        <w:pageBreakBefore w:val="0"/>
        <w:widowControl w:val="0"/>
        <w:tabs>
          <w:tab w:val="left" w:pos="556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色谱条件与系统适用性试验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Cs/>
          <w:sz w:val="24"/>
          <w:szCs w:val="24"/>
        </w:rPr>
        <w:t>同</w:t>
      </w:r>
      <w:r>
        <w:rPr>
          <w:rFonts w:hint="default" w:ascii="Times New Roman" w:hAnsi="Times New Roman" w:cs="Times New Roman"/>
          <w:b/>
          <w:bCs w:val="0"/>
          <w:sz w:val="24"/>
          <w:szCs w:val="24"/>
        </w:rPr>
        <w:t>【含量测定】</w:t>
      </w:r>
      <w:r>
        <w:rPr>
          <w:rFonts w:hint="default" w:ascii="Times New Roman" w:hAnsi="Times New Roman" w:cs="Times New Roman"/>
          <w:bCs/>
          <w:sz w:val="24"/>
          <w:szCs w:val="24"/>
        </w:rPr>
        <w:t>项。</w:t>
      </w:r>
    </w:p>
    <w:p>
      <w:pPr>
        <w:keepNext w:val="0"/>
        <w:keepLines w:val="0"/>
        <w:pageBreakBefore w:val="0"/>
        <w:widowControl w:val="0"/>
        <w:tabs>
          <w:tab w:val="left" w:pos="556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参照物溶液的制备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取橘核对照药材0.5g，加水7ml，煮沸30分钟，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滤过</w:t>
      </w:r>
      <w:r>
        <w:rPr>
          <w:rFonts w:hint="default" w:ascii="Times New Roman" w:hAnsi="Times New Roman" w:cs="Times New Roman"/>
          <w:sz w:val="24"/>
          <w:szCs w:val="24"/>
        </w:rPr>
        <w:t>，取滤液蒸干，残渣加70%甲醇25ml，超声处理（功率300W，频率40kHz）30分钟，摇匀，滤过，取续滤液，作为对照药材参照物溶液。另取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【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含量测定</w:t>
      </w: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】</w:t>
      </w:r>
      <w:r>
        <w:rPr>
          <w:rFonts w:hint="default" w:ascii="Times New Roman" w:hAnsi="Times New Roman" w:cs="Times New Roman"/>
          <w:sz w:val="24"/>
          <w:szCs w:val="24"/>
        </w:rPr>
        <w:t>项下对照品溶液，作为对照品参照物溶液；再取橙皮苷对照品适量，精密称定，加甲醇制成每1ml含橙皮苷100μg的对照品参照物溶液，作为对照品参照物溶液。</w:t>
      </w:r>
    </w:p>
    <w:p>
      <w:pPr>
        <w:keepNext w:val="0"/>
        <w:keepLines w:val="0"/>
        <w:pageBreakBefore w:val="0"/>
        <w:widowControl w:val="0"/>
        <w:tabs>
          <w:tab w:val="left" w:pos="556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供试品溶液的制备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hAnsi="Times New Roman" w:cs="Times New Roman"/>
          <w:bCs/>
          <w:sz w:val="24"/>
          <w:szCs w:val="24"/>
        </w:rPr>
        <w:t>同</w:t>
      </w:r>
      <w:r>
        <w:rPr>
          <w:rFonts w:hint="default" w:hAnsi="Times New Roman" w:cs="Times New Roman"/>
          <w:b/>
          <w:bCs w:val="0"/>
          <w:sz w:val="24"/>
          <w:szCs w:val="24"/>
        </w:rPr>
        <w:t>【含量测定】</w:t>
      </w:r>
      <w:r>
        <w:rPr>
          <w:rFonts w:hint="default" w:hAnsi="Times New Roman" w:cs="Times New Roman"/>
          <w:bCs/>
          <w:sz w:val="24"/>
          <w:szCs w:val="24"/>
        </w:rPr>
        <w:t>项</w:t>
      </w:r>
      <w:r>
        <w:rPr>
          <w:rFonts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56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测定法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cs="Times New Roman"/>
          <w:sz w:val="24"/>
          <w:szCs w:val="24"/>
        </w:rPr>
        <w:t>分别精密吸取对照品溶液与供试品溶液</w:t>
      </w:r>
      <w:r>
        <w:rPr>
          <w:rFonts w:hint="default" w:ascii="Times New Roman" w:hAnsi="Times New Roman" w:cs="Times New Roman"/>
          <w:sz w:val="24"/>
          <w:szCs w:val="24"/>
        </w:rPr>
        <w:t>各2μl</w:t>
      </w:r>
      <w:r>
        <w:rPr>
          <w:rFonts w:cs="Times New Roman"/>
          <w:sz w:val="24"/>
          <w:szCs w:val="24"/>
        </w:rPr>
        <w:t>，注入液相色谱仪，测定，即得。</w:t>
      </w:r>
    </w:p>
    <w:p>
      <w:pPr>
        <w:keepNext w:val="0"/>
        <w:keepLines w:val="0"/>
        <w:pageBreakBefore w:val="0"/>
        <w:widowControl w:val="0"/>
        <w:tabs>
          <w:tab w:val="left" w:pos="5562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供试品色谱中应呈现6个特征峰，并应与对照药材参照物色谱中的6个特征峰保留时间相对应；其中4个峰应分别与相应对照品参照物峰的保留时间相对应，与橙皮苷参照物峰相对应的峰为S峰，计算峰2、峰3与S峰的相对保留时间，其相对保留时间应该在规定值的±10%范围之内，规定值为：1.39（峰2）、1.54（峰3）。</w:t>
      </w:r>
    </w:p>
    <w:p>
      <w:pPr>
        <w:spacing w:line="240" w:lineRule="auto"/>
        <w:ind w:firstLine="0" w:firstLineChars="0"/>
        <w:jc w:val="center"/>
        <w:rPr>
          <w:sz w:val="18"/>
          <w:szCs w:val="18"/>
        </w:rPr>
      </w:pPr>
      <w:r>
        <w:drawing>
          <wp:inline distT="0" distB="0" distL="114300" distR="114300">
            <wp:extent cx="4838700" cy="2905125"/>
            <wp:effectExtent l="0" t="0" r="0" b="9525"/>
            <wp:docPr id="52" name="图片 52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36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峰1(S)：橙皮苷；峰4：柠檬苦素；峰5：诺米林；峰6：黄柏酮</w:t>
      </w:r>
    </w:p>
    <w:p>
      <w:pPr>
        <w:spacing w:line="360" w:lineRule="auto"/>
        <w:ind w:firstLine="360"/>
        <w:jc w:val="center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>对照特征图谱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jc w:val="center"/>
        <w:textAlignment w:val="auto"/>
        <w:rPr>
          <w:rFonts w:cs="Times New Roman"/>
          <w:sz w:val="18"/>
          <w:szCs w:val="18"/>
        </w:rPr>
      </w:pPr>
      <w:r>
        <w:rPr>
          <w:rFonts w:hint="default" w:ascii="Times New Roman" w:hAnsi="Times New Roman" w:cs="Times New Roman"/>
          <w:sz w:val="21"/>
          <w:szCs w:val="21"/>
        </w:rPr>
        <w:t>色谱柱： BEH C18，100mm×2.1mm，1.7μm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jc w:val="left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【</w:t>
      </w:r>
      <w:r>
        <w:rPr>
          <w:rFonts w:cs="Times New Roman"/>
          <w:b/>
          <w:sz w:val="24"/>
          <w:szCs w:val="24"/>
        </w:rPr>
        <w:t>含量测定】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Cs/>
          <w:sz w:val="24"/>
          <w:szCs w:val="24"/>
        </w:rPr>
        <w:t>照</w:t>
      </w:r>
      <w:r>
        <w:rPr>
          <w:rFonts w:hint="default" w:ascii="Times New Roman" w:hAnsi="Times New Roman" w:cs="Times New Roman"/>
          <w:sz w:val="24"/>
          <w:szCs w:val="24"/>
        </w:rPr>
        <w:t>高效液相色谱法</w:t>
      </w:r>
      <w:r>
        <w:rPr>
          <w:rFonts w:hint="default" w:ascii="Times New Roman" w:hAnsi="Times New Roman" w:cs="Times New Roman"/>
          <w:bCs/>
          <w:sz w:val="24"/>
          <w:szCs w:val="24"/>
        </w:rPr>
        <w:t>（</w:t>
      </w:r>
      <w:r>
        <w:rPr>
          <w:rFonts w:hint="default" w:ascii="Times New Roman" w:hAnsi="Times New Roman" w:cs="Times New Roman"/>
          <w:bCs/>
          <w:sz w:val="24"/>
          <w:szCs w:val="24"/>
          <w:lang w:eastAsia="zh-CN"/>
        </w:rPr>
        <w:t>中国药典2020</w:t>
      </w:r>
      <w:r>
        <w:rPr>
          <w:rFonts w:hint="default" w:ascii="Times New Roman" w:hAnsi="Times New Roman" w:cs="Times New Roman"/>
          <w:bCs/>
          <w:sz w:val="24"/>
          <w:szCs w:val="24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cs="Times New Roman"/>
          <w:sz w:val="18"/>
          <w:szCs w:val="18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色谱条件与系统适用性试验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bCs/>
          <w:sz w:val="24"/>
          <w:szCs w:val="24"/>
        </w:rPr>
        <w:t>以十八烷基硅烷键合硅胶为填充剂（</w:t>
      </w:r>
      <w:r>
        <w:rPr>
          <w:rFonts w:hint="default" w:ascii="Times New Roman" w:hAnsi="Times New Roman" w:cs="Times New Roman"/>
          <w:sz w:val="24"/>
          <w:szCs w:val="24"/>
        </w:rPr>
        <w:t>柱长为100mm，内径为2.1mm，粒径为1.6μm~2.2μm</w:t>
      </w:r>
      <w:r>
        <w:rPr>
          <w:rFonts w:hint="default" w:ascii="Times New Roman" w:hAnsi="Times New Roman" w:cs="Times New Roman"/>
          <w:bCs/>
          <w:sz w:val="24"/>
          <w:szCs w:val="24"/>
        </w:rPr>
        <w:t>）</w:t>
      </w:r>
      <w:r>
        <w:rPr>
          <w:rFonts w:hint="default" w:ascii="Times New Roman" w:hAnsi="Times New Roman" w:cs="Times New Roman"/>
          <w:sz w:val="24"/>
          <w:szCs w:val="24"/>
        </w:rPr>
        <w:t>；以乙腈为流动相A，以0.1%磷酸溶液为流动相B，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按下表中的</w:t>
      </w:r>
      <w:r>
        <w:rPr>
          <w:rFonts w:hint="default" w:ascii="Times New Roman" w:hAnsi="Times New Roman" w:cs="Times New Roman"/>
          <w:sz w:val="24"/>
          <w:szCs w:val="24"/>
        </w:rPr>
        <w:t>规定进行梯度洗脱；流速为每分钟0.3ml；柱温为30℃；检测波长为210nm。理论板数按柠檬苦素峰计算应不低于6000。</w:t>
      </w:r>
    </w:p>
    <w:tbl>
      <w:tblPr>
        <w:tblStyle w:val="6"/>
        <w:tblW w:w="8528" w:type="dxa"/>
        <w:tblInd w:w="0" w:type="dxa"/>
        <w:tblBorders>
          <w:top w:val="single" w:color="000000" w:sz="4" w:space="0"/>
          <w:left w:val="none" w:color="auto" w:sz="0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3"/>
        <w:gridCol w:w="2843"/>
        <w:gridCol w:w="2842"/>
      </w:tblGrid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时间（分钟）</w:t>
            </w:r>
          </w:p>
        </w:tc>
        <w:tc>
          <w:tcPr>
            <w:tcW w:w="2843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流动相A（%）</w:t>
            </w:r>
          </w:p>
        </w:tc>
        <w:tc>
          <w:tcPr>
            <w:tcW w:w="2842" w:type="dxa"/>
            <w:tcBorders>
              <w:top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0~10</w:t>
            </w:r>
          </w:p>
        </w:tc>
        <w:tc>
          <w:tcPr>
            <w:tcW w:w="2843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18→35</w:t>
            </w:r>
          </w:p>
        </w:tc>
        <w:tc>
          <w:tcPr>
            <w:tcW w:w="2842" w:type="dxa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82→65</w:t>
            </w:r>
          </w:p>
        </w:tc>
      </w:tr>
      <w:tr>
        <w:tblPrEx>
          <w:tblBorders>
            <w:top w:val="single" w:color="000000" w:sz="4" w:space="0"/>
            <w:left w:val="none" w:color="auto" w:sz="0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10~20</w:t>
            </w:r>
          </w:p>
        </w:tc>
        <w:tc>
          <w:tcPr>
            <w:tcW w:w="2843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35→65</w:t>
            </w:r>
          </w:p>
        </w:tc>
        <w:tc>
          <w:tcPr>
            <w:tcW w:w="2842" w:type="dxa"/>
            <w:tcBorders>
              <w:top w:val="nil"/>
              <w:bottom w:val="single" w:color="000000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ind w:firstLine="360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65→35</w:t>
            </w:r>
          </w:p>
        </w:tc>
      </w:tr>
    </w:tbl>
    <w:p>
      <w:pPr>
        <w:adjustRightInd w:val="0"/>
        <w:snapToGrid w:val="0"/>
        <w:spacing w:line="360" w:lineRule="auto"/>
        <w:rPr>
          <w:rFonts w:cs="Times New Roman"/>
          <w:sz w:val="18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对照品溶液的制备 </w:t>
      </w:r>
      <w:r>
        <w:rPr>
          <w:rFonts w:hint="eastAsia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取柠檬苦素、诺米林、黄柏酮对照品适量，精密称定，加甲醇制成每1ml各含柠檬苦素50μg、诺米林10μg、黄柏酮6μg的对照品混合溶液，即得。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供试品溶液的制备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取本品适量，研细，取约0.1g，精密称定，置具塞锥形瓶中，精密加入70%甲醇25ml，称定重量，超声处理（功率300W，频率40kHz）30分钟，放冷，再称定重量，以70%甲醇补足减失重量，摇匀，滤过，取续滤液，即得。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测定法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分别精密吸取对照品溶液与供试品溶液各2μl，注入液相色谱仪，测定，即得。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本品每1g含柠檬苦素（C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H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hint="default" w:ascii="Times New Roman" w:hAnsi="Times New Roman" w:cs="Times New Roman"/>
          <w:sz w:val="24"/>
          <w:szCs w:val="24"/>
        </w:rPr>
        <w:t>）、诺米林（C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H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34</w:t>
      </w:r>
      <w:r>
        <w:rPr>
          <w:rFonts w:hint="default" w:ascii="Times New Roman" w:hAnsi="Times New Roman" w:cs="Times New Roman"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>）、黄柏酮（C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H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）总量应为7.0mg</w:t>
      </w:r>
      <w:r>
        <w:rPr>
          <w:rFonts w:hint="default" w:ascii="Times New Roman" w:hAnsi="Times New Roman" w:eastAsia="微软雅黑" w:cs="Times New Roman"/>
          <w:sz w:val="24"/>
          <w:szCs w:val="24"/>
        </w:rPr>
        <w:t>~</w:t>
      </w:r>
      <w:r>
        <w:rPr>
          <w:rFonts w:hint="default" w:ascii="Times New Roman" w:hAnsi="Times New Roman" w:cs="Times New Roman"/>
          <w:sz w:val="24"/>
          <w:szCs w:val="24"/>
        </w:rPr>
        <w:t>33.0mg。</w:t>
      </w:r>
    </w:p>
    <w:p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【</w:t>
      </w:r>
      <w:r>
        <w:rPr>
          <w:rFonts w:hint="default" w:ascii="Times New Roman" w:hAnsi="Times New Roman" w:cs="Times New Roman"/>
          <w:b/>
          <w:sz w:val="24"/>
          <w:szCs w:val="24"/>
        </w:rPr>
        <w:t>规格</w:t>
      </w:r>
      <w:r>
        <w:rPr>
          <w:rFonts w:hint="default" w:ascii="Times New Roman" w:hAnsi="Times New Roman" w:cs="Times New Roman"/>
          <w:sz w:val="24"/>
          <w:szCs w:val="24"/>
        </w:rPr>
        <w:t>】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每1g配方颗粒相当于饮片4.5g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1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【贮藏】</w:t>
      </w:r>
      <w:r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密封。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ins w:id="0" w:author="kylin" w:date="2022-04-19T10:47:03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9059A2"/>
    <w:rsid w:val="294066EC"/>
    <w:rsid w:val="2B381B3E"/>
    <w:rsid w:val="314F5548"/>
    <w:rsid w:val="3D1C5D57"/>
    <w:rsid w:val="406901D0"/>
    <w:rsid w:val="41016309"/>
    <w:rsid w:val="4A7E7AFA"/>
    <w:rsid w:val="51FD2B1C"/>
    <w:rsid w:val="57CF722F"/>
    <w:rsid w:val="5900361E"/>
    <w:rsid w:val="6790474C"/>
    <w:rsid w:val="6AF208ED"/>
    <w:rsid w:val="7202069F"/>
    <w:rsid w:val="7EBF05A3"/>
    <w:rsid w:val="FBBC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0"/>
    <w:rPr>
      <w:rFonts w:ascii="Arial" w:hAnsi="Arial" w:eastAsia="黑体" w:cs="Times New Roman"/>
      <w:sz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引用1"/>
    <w:basedOn w:val="1"/>
    <w:next w:val="1"/>
    <w:qFormat/>
    <w:uiPriority w:val="29"/>
    <w:pPr>
      <w:spacing w:line="240" w:lineRule="auto"/>
      <w:ind w:firstLine="0" w:firstLineChars="0"/>
      <w:jc w:val="center"/>
    </w:pPr>
    <w:rPr>
      <w:iCs/>
      <w:color w:val="000000"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1412</Words>
  <Characters>1702</Characters>
  <Lines>0</Lines>
  <Paragraphs>0</Paragraphs>
  <TotalTime>0</TotalTime>
  <ScaleCrop>false</ScaleCrop>
  <LinksUpToDate>false</LinksUpToDate>
  <CharactersWithSpaces>1743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2021-11-19T09:02:00Z</dcterms:created>
  <dc:creator>lenovo</dc:creator>
  <cp:lastModifiedBy>kylin</cp:lastModifiedBy>
  <cp:lastPrinted>2022-04-11T15:10:00Z</cp:lastPrinted>
  <dcterms:modified xsi:type="dcterms:W3CDTF">2022-04-19T10:47:07Z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4368C71607E64BDA88078986553BBC59</vt:lpwstr>
  </property>
</Properties>
</file>