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  <w:bookmarkStart w:id="0" w:name="_Toc21663"/>
      <w:r>
        <w:rPr>
          <w:rFonts w:hint="default" w:ascii="Times New Roman" w:hAnsi="Times New Roman" w:cs="Times New Roman"/>
          <w:b/>
          <w:bCs/>
          <w:sz w:val="28"/>
          <w:szCs w:val="28"/>
        </w:rPr>
        <w:t>灯心草配方颗粒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Dengxincao 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【来源】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本品为</w:t>
      </w:r>
      <w:r>
        <w:rPr>
          <w:rFonts w:hint="default" w:ascii="Times New Roman" w:hAnsi="Times New Roman" w:cs="Times New Roman"/>
          <w:kern w:val="0"/>
          <w:sz w:val="24"/>
          <w:szCs w:val="24"/>
        </w:rPr>
        <w:t>灯心草科植物灯心草</w:t>
      </w:r>
      <w:r>
        <w:rPr>
          <w:rFonts w:hint="default" w:ascii="Times New Roman" w:hAnsi="Times New Roman" w:cs="Times New Roman" w:eastAsiaTheme="minorEastAsia"/>
          <w:i/>
          <w:kern w:val="0"/>
          <w:sz w:val="24"/>
          <w:szCs w:val="24"/>
        </w:rPr>
        <w:t>Junc</w:t>
      </w:r>
      <w:r>
        <w:rPr>
          <w:rFonts w:hint="default" w:ascii="Times New Roman" w:hAnsi="Times New Roman" w:cs="Times New Roman" w:eastAsiaTheme="minorEastAsia"/>
          <w:i/>
          <w:kern w:val="0"/>
          <w:sz w:val="24"/>
          <w:szCs w:val="24"/>
          <w:lang w:val="en-US" w:eastAsia="zh-CN"/>
        </w:rPr>
        <w:t>u</w:t>
      </w:r>
      <w:r>
        <w:rPr>
          <w:rFonts w:hint="default" w:ascii="Times New Roman" w:hAnsi="Times New Roman" w:cs="Times New Roman" w:eastAsiaTheme="minorEastAsia"/>
          <w:i/>
          <w:kern w:val="0"/>
          <w:sz w:val="24"/>
          <w:szCs w:val="24"/>
        </w:rPr>
        <w:t xml:space="preserve">s effusus </w:t>
      </w:r>
      <w:r>
        <w:rPr>
          <w:rFonts w:hint="default" w:ascii="Times New Roman" w:hAnsi="Times New Roman" w:cs="Times New Roman" w:eastAsiaTheme="minorEastAsia"/>
          <w:kern w:val="0"/>
          <w:sz w:val="24"/>
          <w:szCs w:val="24"/>
        </w:rPr>
        <w:t>L</w:t>
      </w:r>
      <w:r>
        <w:rPr>
          <w:rFonts w:hint="default" w:ascii="Times New Roman" w:hAnsi="Times New Roman" w:cs="Times New Roman" w:eastAsiaTheme="minorEastAsia"/>
          <w:i/>
          <w:kern w:val="0"/>
          <w:sz w:val="24"/>
          <w:szCs w:val="24"/>
        </w:rPr>
        <w:t>.</w:t>
      </w:r>
      <w:r>
        <w:rPr>
          <w:rFonts w:hint="default" w:ascii="Times New Roman" w:hAnsi="Times New Roman" w:cs="Times New Roman" w:eastAsiaTheme="minorEastAsia"/>
          <w:kern w:val="0"/>
          <w:sz w:val="24"/>
          <w:szCs w:val="24"/>
        </w:rPr>
        <w:t>的干燥茎髓</w:t>
      </w:r>
      <w:r>
        <w:rPr>
          <w:rFonts w:hint="default" w:ascii="Times New Roman" w:hAnsi="Times New Roman" w:cs="Times New Roman"/>
          <w:sz w:val="24"/>
          <w:szCs w:val="24"/>
        </w:rPr>
        <w:t>经炮制并按标准汤剂的主要质量指标加工制成的配方颗粒。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【制法】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取灯心草饮片5000g，加水煎煮，滤过，滤液浓缩成清膏（干浸膏出膏率为2.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%~8.5%），加入辅料适量，干燥（或干燥，粉碎），再加入辅料适量，混匀，制粒，制成1000g，即得。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【性状】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本品为浅灰黄色至棕黄色的颗粒；气微，味淡。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【鉴别】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本品适量，研细，取0.5g，加甲醇50ml，加热回流1小时，滤过，滤液蒸干，残渣用乙醚2ml洗涤，弃去乙醚液，加甲醇1ml使溶解，作为供试品溶液。另取灯心草对照药材2.5g，加水100ml，煮沸30分钟，滤过，滤液蒸干，残渣加甲醇50ml，同法制成对照药材溶液。照薄层色谱法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sz w:val="24"/>
          <w:szCs w:val="24"/>
        </w:rPr>
        <w:t>年版通则0502）试验，吸取上述供试品溶液10µ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cs="Times New Roman"/>
          <w:sz w:val="24"/>
          <w:szCs w:val="24"/>
        </w:rPr>
        <w:t>、对照药材溶液15µ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cs="Times New Roman"/>
          <w:sz w:val="24"/>
          <w:szCs w:val="24"/>
        </w:rPr>
        <w:t>，分别点于同一硅胶G薄层板上，以环己烷-乙酸乙酯（10</w:t>
      </w:r>
      <w:r>
        <w:rPr>
          <w:rFonts w:hint="eastAsia" w:cs="Times New Roman"/>
          <w:sz w:val="24"/>
          <w:szCs w:val="24"/>
          <w:lang w:val="en-US" w:eastAsia="zh-CN"/>
        </w:rPr>
        <w:t>∶</w:t>
      </w:r>
      <w:r>
        <w:rPr>
          <w:rFonts w:hint="default" w:ascii="Times New Roman" w:hAnsi="Times New Roman" w:cs="Times New Roman"/>
          <w:sz w:val="24"/>
          <w:szCs w:val="24"/>
        </w:rPr>
        <w:t>7）为展开剂，展开，取出，晾干，喷以10%磷钼酸乙醇试液，在105℃加热至斑点显色清晰。供试品色谱中，在与对照药材色谱相应的位置上，显相同颜色的主斑点。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【特征图谱】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照高效液相色</w:t>
      </w:r>
      <w:r>
        <w:rPr>
          <w:rFonts w:hint="default" w:ascii="Times New Roman" w:hAnsi="Times New Roman" w:cs="Times New Roman"/>
          <w:bCs/>
          <w:sz w:val="24"/>
          <w:szCs w:val="24"/>
        </w:rPr>
        <w:t>谱法（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bCs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jc w:val="left"/>
        <w:textAlignment w:val="auto"/>
        <w:outlineLvl w:val="9"/>
        <w:rPr>
          <w:rFonts w:hint="default" w:ascii="Times New Roman" w:hAnsi="Times New Roman" w:cs="Times New Roman"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色谱条件与系统适用性试验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>以十八烷基硅烷键合硅胶为填充剂（</w:t>
      </w:r>
      <w:r>
        <w:rPr>
          <w:rFonts w:hint="default" w:ascii="Times New Roman" w:hAnsi="Times New Roman" w:cs="Times New Roman"/>
          <w:sz w:val="24"/>
          <w:szCs w:val="24"/>
        </w:rPr>
        <w:t>柱长为100mm，内径为2.1mm，粒径为1.6μm</w:t>
      </w:r>
      <w:r>
        <w:rPr>
          <w:rFonts w:hint="default" w:ascii="Times New Roman" w:hAnsi="Times New Roman" w:cs="Times New Roman"/>
          <w:bCs/>
          <w:sz w:val="24"/>
          <w:szCs w:val="24"/>
        </w:rPr>
        <w:t>），以甲醇为流动相A，以0.01%甲酸溶液为流动相B，按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下</w:t>
      </w:r>
      <w:r>
        <w:rPr>
          <w:rFonts w:hint="default" w:ascii="Times New Roman" w:hAnsi="Times New Roman" w:cs="Times New Roman"/>
          <w:bCs/>
          <w:sz w:val="24"/>
          <w:szCs w:val="24"/>
        </w:rPr>
        <w:t>表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中的规定进行</w:t>
      </w:r>
      <w:r>
        <w:rPr>
          <w:rFonts w:hint="default" w:ascii="Times New Roman" w:hAnsi="Times New Roman" w:cs="Times New Roman"/>
          <w:bCs/>
          <w:sz w:val="24"/>
          <w:szCs w:val="24"/>
        </w:rPr>
        <w:t>梯度洗脱；流速为每分钟0.30ml；柱温为35℃；检测波长为282nm。理论板数按厄弗酚峰计算应不低于5000。</w:t>
      </w:r>
    </w:p>
    <w:tbl>
      <w:tblPr>
        <w:tblStyle w:val="7"/>
        <w:tblW w:w="8528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2843"/>
        <w:gridCol w:w="284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流动相A（%）</w:t>
            </w:r>
          </w:p>
        </w:tc>
        <w:tc>
          <w:tcPr>
            <w:tcW w:w="2842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0~2</w:t>
            </w:r>
          </w:p>
        </w:tc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2842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2~8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15→18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85→82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8~16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18→33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82→67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16~18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33→50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67→50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18~24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50→54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50→46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24~32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54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32~38</w:t>
            </w:r>
          </w:p>
        </w:tc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54→65</w:t>
            </w:r>
          </w:p>
        </w:tc>
        <w:tc>
          <w:tcPr>
            <w:tcW w:w="284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46→35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2"/>
        <w:textAlignment w:val="auto"/>
        <w:outlineLvl w:val="9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参照物溶液的制备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>取灯心草对照药材约0.3g，精密称定，置具塞锥形瓶中，加甲醇25ml，称定重量，超声处理（功率300W，频率40kH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z</w:t>
      </w:r>
      <w:r>
        <w:rPr>
          <w:rFonts w:hint="default" w:ascii="Times New Roman" w:hAnsi="Times New Roman" w:cs="Times New Roman"/>
          <w:bCs/>
          <w:sz w:val="24"/>
          <w:szCs w:val="24"/>
        </w:rPr>
        <w:t>）30分钟，放冷，再称定重量，用甲醇补足减失的重量，摇匀，滤过，取续滤液，作为对照药材参照物溶液。另取</w:t>
      </w:r>
      <w:r>
        <w:rPr>
          <w:rFonts w:hint="eastAsia" w:cs="Times New Roman"/>
          <w:b/>
          <w:bCs w:val="0"/>
          <w:sz w:val="24"/>
          <w:szCs w:val="24"/>
          <w:lang w:eastAsia="zh-CN"/>
        </w:rPr>
        <w:t>【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含量测定</w:t>
      </w:r>
      <w:r>
        <w:rPr>
          <w:rFonts w:hint="eastAsia" w:cs="Times New Roman"/>
          <w:b/>
          <w:bCs w:val="0"/>
          <w:sz w:val="24"/>
          <w:szCs w:val="24"/>
          <w:lang w:eastAsia="zh-CN"/>
        </w:rPr>
        <w:t>】</w:t>
      </w:r>
      <w:r>
        <w:rPr>
          <w:rFonts w:hint="default" w:ascii="Times New Roman" w:hAnsi="Times New Roman" w:cs="Times New Roman"/>
          <w:bCs/>
          <w:sz w:val="24"/>
          <w:szCs w:val="24"/>
        </w:rPr>
        <w:t>项下对照品溶液，作为对照品参照物溶液。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同</w:t>
      </w:r>
      <w:r>
        <w:rPr>
          <w:rFonts w:hint="eastAsia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含量测定</w:t>
      </w:r>
      <w:r>
        <w:rPr>
          <w:rFonts w:hint="eastAsia" w:cs="Times New Roman"/>
          <w:b/>
          <w:bCs/>
          <w:sz w:val="24"/>
          <w:szCs w:val="24"/>
          <w:lang w:eastAsia="zh-CN"/>
        </w:rPr>
        <w:t>】</w:t>
      </w:r>
      <w:r>
        <w:rPr>
          <w:rFonts w:hint="default" w:ascii="Times New Roman" w:hAnsi="Times New Roman" w:cs="Times New Roman"/>
          <w:sz w:val="24"/>
          <w:szCs w:val="24"/>
        </w:rPr>
        <w:t>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测定法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分别精密吸取参照物溶液、对照药材溶液及供试品溶液各1μl，注入液相色谱仪，测定，即得。</w:t>
      </w:r>
    </w:p>
    <w:p>
      <w:pPr>
        <w:keepNext w:val="0"/>
        <w:keepLines w:val="0"/>
        <w:pageBreakBefore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供试品色谱中应呈现6个特征峰，并应与对照药材参照物色谱中的6个特征峰保留时间相对应，其中2个峰应分别与相应的对照品参照物峰保留时间相对应；以厄弗酚色谱峰为参照峰S，计算各特征峰与S峰的相对保留时间，其相对保留时间应该在规定值的±10%范围之内，规定值为：0.39（峰1）、0.49（峰2）、0.58（峰3）、1.29（峰6）。</w:t>
      </w:r>
    </w:p>
    <w:p>
      <w:pPr>
        <w:spacing w:line="240" w:lineRule="auto"/>
        <w:ind w:firstLine="0" w:firstLineChars="0"/>
        <w:jc w:val="center"/>
        <w:rPr>
          <w:rFonts w:cs="Times New Roman"/>
          <w:sz w:val="18"/>
          <w:szCs w:val="21"/>
        </w:rPr>
      </w:pPr>
      <w:r>
        <w:rPr>
          <w:rFonts w:cs="Times New Roman"/>
          <w:sz w:val="18"/>
          <w:szCs w:val="21"/>
        </w:rPr>
        <w:drawing>
          <wp:inline distT="0" distB="0" distL="0" distR="0">
            <wp:extent cx="5274310" cy="2362200"/>
            <wp:effectExtent l="0" t="0" r="2540" b="0"/>
            <wp:docPr id="8" name="图片 1" descr="\\192.168.1.201\技术中心\标准化部\中药配方颗粒国标研究\7.李振雨-第三小组国标项目资料\2019年国标研究计划\6.灯心草\灯心草颗粒研究\灯心草颗粒样品测定\灯心草颗粒CDF\灯心草颗粒特征对照图谱.jp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\\192.168.1.201\技术中心\标准化部\中药配方颗粒国标研究\7.李振雨-第三小组国标项目资料\2019年国标研究计划\6.灯心草\灯心草颗粒研究\灯心草颗粒样品测定\灯心草颗粒CDF\灯心草颗粒特征对照图谱.jpg"/>
                    <pic:cNvPicPr>
                      <a:picLocks noChangeAspect="true" noChangeArrowheads="true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峰4(S)：厄弗酚，峰5：去氢厄弗酚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bCs/>
          <w:color w:val="000000"/>
          <w:kern w:val="0"/>
          <w:sz w:val="21"/>
          <w:szCs w:val="21"/>
        </w:rPr>
        <w:t>色谱柱：Cortecs T3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【检查】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应符合颗粒剂项下有关的各项规定（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sz w:val="24"/>
          <w:szCs w:val="24"/>
        </w:rPr>
        <w:t>年版通则0104）。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【浸出物】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取本品研细，取约2g，精密称定，精密加入乙醇100ml，照醇溶性浸出物测定法（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sz w:val="24"/>
          <w:szCs w:val="24"/>
        </w:rPr>
        <w:t>年版通则2201）项下的热浸法测定，不得少于6.0%。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【含量测定】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照高效液相色谱法（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色谱条件与系统适用性试验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以十八烷基硅烷键合硅胶为填充剂（柱长为100mm，内径为2.1mm，粒径为1.6μm~1.8μm）；以甲醇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>水（52</w:t>
      </w:r>
      <w:r>
        <w:rPr>
          <w:rFonts w:hint="eastAsia" w:cs="Times New Roman"/>
          <w:sz w:val="24"/>
          <w:szCs w:val="24"/>
          <w:lang w:val="en-US" w:eastAsia="zh-CN"/>
        </w:rPr>
        <w:t>∶</w:t>
      </w:r>
      <w:r>
        <w:rPr>
          <w:rFonts w:hint="default" w:ascii="Times New Roman" w:hAnsi="Times New Roman" w:cs="Times New Roman"/>
          <w:sz w:val="24"/>
          <w:szCs w:val="24"/>
        </w:rPr>
        <w:t>48）为流动相；流速为每分钟0.30ml；柱温为35℃；检测波长为282nm。理论板数按厄弗酚峰计算应不低于5000。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对照品溶液的制备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取厄弗酚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对照品</w:t>
      </w:r>
      <w:r>
        <w:rPr>
          <w:rFonts w:hint="default" w:ascii="Times New Roman" w:hAnsi="Times New Roman" w:cs="Times New Roman"/>
          <w:sz w:val="24"/>
          <w:szCs w:val="24"/>
        </w:rPr>
        <w:t>、去氢厄弗酚对照品适量，精密称定，加甲醇制成每1ml含厄弗酚5μg、去氢厄弗酚10μg的溶液，即得。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供试品溶液的制备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取本品适量，研细，取约0.1g，置具塞锥形瓶中，精密加入甲醇25ml，称定重量，超声处理（功率300W，频率40kHz）30分钟，放冷，再称定重量，用甲醇补足减失的重量，摇匀，滤过，取续滤液，即得。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测定法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分别精密吸取参照物溶液和供试品溶液各1μl，注入液相色谱仪，测定，即得。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本品每1g含厄弗酚（C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）和去氢厄弗酚（C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14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）总量应为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1.0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mg~8.0mg。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jc w:val="left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【规格】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每1g配方颗粒相当于饮片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g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2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【贮藏】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密封。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4-19T10:46:31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7CB7"/>
    <w:rsid w:val="078A6B59"/>
    <w:rsid w:val="19E36A84"/>
    <w:rsid w:val="26A122F0"/>
    <w:rsid w:val="3A891020"/>
    <w:rsid w:val="48241AF9"/>
    <w:rsid w:val="4880177F"/>
    <w:rsid w:val="70417995"/>
    <w:rsid w:val="77F4486D"/>
    <w:rsid w:val="F6EFD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网格型1"/>
    <w:basedOn w:val="5"/>
    <w:qFormat/>
    <w:uiPriority w:val="59"/>
    <w:rPr>
      <w:rFonts w:ascii="Calibri" w:hAnsi="Calibri" w:cs="黑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center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1447</Words>
  <Characters>1763</Characters>
  <Lines>0</Lines>
  <Paragraphs>0</Paragraphs>
  <TotalTime>0</TotalTime>
  <ScaleCrop>false</ScaleCrop>
  <LinksUpToDate>false</LinksUpToDate>
  <CharactersWithSpaces>1803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kylin</cp:lastModifiedBy>
  <cp:lastPrinted>2022-04-15T09:19:00Z</cp:lastPrinted>
  <dcterms:modified xsi:type="dcterms:W3CDTF">2022-04-19T10:46:34Z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77B7F57F085D4B81A7D5441E8F181083</vt:lpwstr>
  </property>
</Properties>
</file>