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outlineLvl w:val="0"/>
        <w:rPr>
          <w:rFonts w:ascii="Times New Roman" w:hAnsi="Times New Roman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bookmarkStart w:id="0" w:name="_Toc80262449"/>
      <w:r>
        <w:rPr>
          <w:rFonts w:ascii="Times New Roman" w:hAnsi="Times New Roman" w:eastAsia="宋体" w:cs="Times New Roman"/>
          <w:b/>
          <w:bCs/>
          <w:kern w:val="44"/>
          <w:sz w:val="28"/>
          <w:szCs w:val="28"/>
        </w:rPr>
        <w:t>急性子配方颗粒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Jixingzi Peifangkeli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来源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】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凤仙花科植物凤仙花 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 xml:space="preserve">Impatiens balsamina </w:t>
      </w:r>
      <w:r>
        <w:rPr>
          <w:rFonts w:ascii="Times New Roman" w:hAnsi="Times New Roman" w:eastAsia="宋体" w:cs="Times New Roman"/>
          <w:iCs/>
          <w:kern w:val="0"/>
          <w:sz w:val="24"/>
          <w:szCs w:val="24"/>
        </w:rPr>
        <w:t>L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.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的干燥成熟种子</w:t>
      </w:r>
      <w:r>
        <w:rPr>
          <w:rFonts w:ascii="Times New Roman" w:hAnsi="Times New Roman" w:eastAsia="宋体" w:cs="Times New Roman"/>
          <w:sz w:val="24"/>
          <w:szCs w:val="24"/>
        </w:rPr>
        <w:t>经炮制并按标准汤剂的主要质量指标加工制成的配方颗粒。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【制法】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取急性子饮片6000g，加水煎煮，滤过，滤液浓缩成清膏（干浸膏出膏率为2.5%~9%），加入辅料适量，干燥（或干燥，粉碎），再加入辅料适量，混匀，制粒，制成1000g，即得。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sz w:val="24"/>
          <w:szCs w:val="24"/>
        </w:rPr>
        <w:t>性状</w:t>
      </w:r>
      <w:r>
        <w:rPr>
          <w:rFonts w:ascii="Times New Roman" w:hAnsi="Times New Roman" w:eastAsia="宋体" w:cs="Times New Roman"/>
          <w:sz w:val="24"/>
          <w:szCs w:val="24"/>
        </w:rPr>
        <w:t xml:space="preserve">】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本品为浅黄棕色至灰棕色的颗粒；气微，味微苦。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【鉴别】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本品0.5g，加水20ml，微热使溶解，冷却，用乙酸乙酯振摇提取2次，每次20ml，合并乙酸乙酯液，蒸干，残渣加甲醇1ml使溶解，作为供试品溶液。另取急性子对照药材2g，加水40ml，加热回流30分钟，滤过，滤液浓缩至约20ml，冷却，用乙酸乙酯振摇提取2次，每次20ml，同法制成对照药材溶液。照薄层色谱法（</w:t>
      </w:r>
      <w:r>
        <w:rPr>
          <w:rFonts w:hint="eastAsia" w:ascii="Times New Roman" w:hAnsi="Times New Roman" w:eastAsia="宋体" w:cs="Times New Roman"/>
          <w:sz w:val="24"/>
          <w:szCs w:val="24"/>
        </w:rPr>
        <w:t>中国药典2020</w:t>
      </w:r>
      <w:r>
        <w:rPr>
          <w:rFonts w:ascii="Times New Roman" w:hAnsi="Times New Roman" w:eastAsia="宋体" w:cs="Times New Roman"/>
          <w:sz w:val="24"/>
          <w:szCs w:val="24"/>
        </w:rPr>
        <w:t>年版通则0502）试验，吸取供试品溶液10µl、对照药材溶液15µl，分别点于同一硅胶G薄层板上，以甲苯-乙酸乙酯-甲酸（7.5</w:t>
      </w:r>
      <w:r>
        <w:rPr>
          <w:rFonts w:hint="eastAsia" w:ascii="Times New Roman" w:hAnsi="Times New Roman" w:eastAsia="宋体" w:cs="Times New Roman"/>
          <w:sz w:val="24"/>
          <w:szCs w:val="24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2.5</w:t>
      </w:r>
      <w:r>
        <w:rPr>
          <w:rFonts w:hint="eastAsia" w:ascii="Times New Roman" w:hAnsi="Times New Roman" w:eastAsia="宋体" w:cs="Times New Roman"/>
          <w:sz w:val="24"/>
          <w:szCs w:val="24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0.3）为展开剂，展开，取出，晾干，喷以10%硫酸乙醇溶液，在105℃加热至斑点显色清晰，置紫外光灯(365nm)下检视。供试品色谱中，在与对照药材色谱相应的位置上，显相同颜色的荧光斑点。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检查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】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应符合颗粒剂项下有关的各项规定（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中国药典2020</w:t>
      </w:r>
      <w:r>
        <w:rPr>
          <w:rFonts w:ascii="Times New Roman" w:hAnsi="Times New Roman" w:eastAsia="宋体" w:cs="Times New Roman"/>
          <w:bCs/>
          <w:sz w:val="24"/>
          <w:szCs w:val="24"/>
        </w:rPr>
        <w:t>年版通则0104）。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浸出物</w:t>
      </w:r>
      <w:r>
        <w:rPr>
          <w:rFonts w:ascii="Times New Roman" w:hAnsi="Times New Roman" w:eastAsia="宋体" w:cs="Times New Roman"/>
          <w:b/>
          <w:sz w:val="24"/>
          <w:szCs w:val="24"/>
        </w:rPr>
        <w:t>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本品研细，取约2g，</w:t>
      </w:r>
      <w:r>
        <w:rPr>
          <w:rFonts w:ascii="Times New Roman" w:hAnsi="Times New Roman" w:eastAsia="宋体" w:cs="Times New Roman"/>
          <w:sz w:val="24"/>
          <w:szCs w:val="24"/>
        </w:rPr>
        <w:t>精密称定，精密加入乙醇100ml，照醇溶性浸出物测定法（</w:t>
      </w:r>
      <w:r>
        <w:rPr>
          <w:rFonts w:hint="eastAsia" w:ascii="Times New Roman" w:hAnsi="Times New Roman" w:eastAsia="宋体" w:cs="Times New Roman"/>
          <w:sz w:val="24"/>
          <w:szCs w:val="24"/>
        </w:rPr>
        <w:t>中国药典2020</w:t>
      </w:r>
      <w:r>
        <w:rPr>
          <w:rFonts w:ascii="Times New Roman" w:hAnsi="Times New Roman" w:eastAsia="宋体" w:cs="Times New Roman"/>
          <w:sz w:val="24"/>
          <w:szCs w:val="24"/>
        </w:rPr>
        <w:t>年版通则2201）项下的热浸法测定，不得少于</w:t>
      </w: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【特征图谱】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照高效液相色谱法（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中国药典2020</w:t>
      </w:r>
      <w:r>
        <w:rPr>
          <w:rFonts w:ascii="Times New Roman" w:hAnsi="Times New Roman" w:eastAsia="宋体" w:cs="Times New Roman"/>
          <w:bCs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jc w:val="left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色谱条件与系统适用性试验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同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sz w:val="24"/>
          <w:szCs w:val="24"/>
        </w:rPr>
        <w:t>含量测定】</w:t>
      </w:r>
      <w:r>
        <w:rPr>
          <w:rFonts w:ascii="Times New Roman" w:hAnsi="Times New Roman" w:eastAsia="宋体" w:cs="Times New Roman"/>
          <w:bCs/>
          <w:sz w:val="24"/>
          <w:szCs w:val="24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参照物溶液的制备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急性子对照药材约1.0g，精密称定，置具塞锥形瓶中，加50%甲醇50ml，称定重量，加热回流30分钟，放冷，再称定重量，用50%甲醇补足减失的重量，离心，精密量取上清液25ml，水浴蒸干，残渣加50%甲醇使溶解，转移至5ml量瓶中，加50%甲醇至刻度，摇匀，滤过，取续滤液，作为对照药材参照物溶液。另取凤仙萜四醇皂苷B对照品、凤仙萜四醇皂苷K对照品、凤仙萜四醇皂苷G对照品、凤仙萜四醇皂苷A对照品和凤仙萜四醇皂苷L对照品适量，精密称定，加甲醇分别制成每lml含取凤仙萜四醇皂苷B 400μg、凤仙萜四醇皂苷K 400μg、凤仙萜四醇皂苷G 100μg、凤仙萜四醇皂苷A 300μg和凤仙萜四醇皂苷L 100μg，作为对照品参照物溶液。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同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sz w:val="24"/>
          <w:szCs w:val="24"/>
        </w:rPr>
        <w:t>含量测定】</w:t>
      </w:r>
      <w:r>
        <w:rPr>
          <w:rFonts w:ascii="Times New Roman" w:hAnsi="Times New Roman" w:eastAsia="宋体" w:cs="Times New Roman"/>
          <w:bCs/>
          <w:sz w:val="24"/>
          <w:szCs w:val="24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测定法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分别精密吸取参照物溶液与供试品溶液各10μl，注入液相色谱仪，测定，即得。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供试品色谱中应呈现6个特征峰，并应与对照药材参照物色谱中的6个特征峰保留时间相对应，其中5个峰分别与相应对照品参照物峰的保留时间相对应。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5039995" cy="2654300"/>
            <wp:effectExtent l="0" t="0" r="8255" b="12700"/>
            <wp:docPr id="5" name="图片 5" descr="对照图谱_副本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对照图谱_副本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265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Times New Roman" w:hAnsi="Times New Roman" w:eastAsia="宋体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eastAsia="宋体" w:cs="Times New Roman"/>
          <w:sz w:val="21"/>
          <w:szCs w:val="21"/>
          <w:shd w:val="clear" w:color="auto" w:fill="FFFFFF"/>
        </w:rPr>
        <w:t>峰2</w:t>
      </w:r>
      <w:r>
        <w:rPr>
          <w:rFonts w:hint="eastAsia" w:ascii="Times New Roman" w:hAnsi="Times New Roman" w:eastAsia="宋体" w:cs="Times New Roman"/>
          <w:sz w:val="21"/>
          <w:szCs w:val="21"/>
          <w:shd w:val="clear" w:color="auto" w:fill="FFFFFF"/>
        </w:rPr>
        <w:t>∶</w:t>
      </w:r>
      <w:r>
        <w:rPr>
          <w:rFonts w:ascii="Times New Roman" w:hAnsi="Times New Roman" w:eastAsia="宋体" w:cs="Times New Roman"/>
          <w:sz w:val="21"/>
          <w:szCs w:val="21"/>
          <w:shd w:val="clear" w:color="auto" w:fill="FFFFFF"/>
        </w:rPr>
        <w:t>凤仙萜四醇皂苷B；峰3</w:t>
      </w:r>
      <w:r>
        <w:rPr>
          <w:rFonts w:hint="eastAsia" w:ascii="Times New Roman" w:hAnsi="Times New Roman" w:eastAsia="宋体" w:cs="Times New Roman"/>
          <w:sz w:val="21"/>
          <w:szCs w:val="21"/>
          <w:shd w:val="clear" w:color="auto" w:fill="FFFFFF"/>
        </w:rPr>
        <w:t>∶</w:t>
      </w:r>
      <w:r>
        <w:rPr>
          <w:rFonts w:ascii="Times New Roman" w:hAnsi="Times New Roman" w:eastAsia="宋体" w:cs="Times New Roman"/>
          <w:sz w:val="21"/>
          <w:szCs w:val="21"/>
          <w:shd w:val="clear" w:color="auto" w:fill="FFFFFF"/>
        </w:rPr>
        <w:t>凤仙萜四醇皂苷K；峰4</w:t>
      </w:r>
      <w:r>
        <w:rPr>
          <w:rFonts w:hint="eastAsia" w:ascii="Times New Roman" w:hAnsi="Times New Roman" w:eastAsia="宋体" w:cs="Times New Roman"/>
          <w:sz w:val="21"/>
          <w:szCs w:val="21"/>
          <w:shd w:val="clear" w:color="auto" w:fill="FFFFFF"/>
        </w:rPr>
        <w:t>∶</w:t>
      </w:r>
      <w:r>
        <w:rPr>
          <w:rFonts w:ascii="Times New Roman" w:hAnsi="Times New Roman" w:eastAsia="宋体" w:cs="Times New Roman"/>
          <w:sz w:val="21"/>
          <w:szCs w:val="21"/>
          <w:shd w:val="clear" w:color="auto" w:fill="FFFFFF"/>
        </w:rPr>
        <w:t>凤仙萜四醇皂苷G；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  <w:shd w:val="clear" w:color="auto" w:fill="FFFFFF"/>
        </w:rPr>
        <w:t>峰5</w:t>
      </w:r>
      <w:r>
        <w:rPr>
          <w:rFonts w:hint="eastAsia" w:ascii="Times New Roman" w:hAnsi="Times New Roman" w:eastAsia="宋体" w:cs="Times New Roman"/>
          <w:sz w:val="21"/>
          <w:szCs w:val="21"/>
          <w:shd w:val="clear" w:color="auto" w:fill="FFFFFF"/>
        </w:rPr>
        <w:t>∶</w:t>
      </w:r>
      <w:r>
        <w:rPr>
          <w:rFonts w:ascii="Times New Roman" w:hAnsi="Times New Roman" w:eastAsia="宋体" w:cs="Times New Roman"/>
          <w:sz w:val="21"/>
          <w:szCs w:val="21"/>
          <w:shd w:val="clear" w:color="auto" w:fill="FFFFFF"/>
        </w:rPr>
        <w:t>凤仙萜四醇皂苷A；峰6</w:t>
      </w:r>
      <w:r>
        <w:rPr>
          <w:rFonts w:hint="eastAsia" w:ascii="Times New Roman" w:hAnsi="Times New Roman" w:eastAsia="宋体" w:cs="Times New Roman"/>
          <w:sz w:val="21"/>
          <w:szCs w:val="21"/>
          <w:shd w:val="clear" w:color="auto" w:fill="FFFFFF"/>
        </w:rPr>
        <w:t>∶</w:t>
      </w:r>
      <w:r>
        <w:rPr>
          <w:rFonts w:ascii="Times New Roman" w:hAnsi="Times New Roman" w:eastAsia="宋体" w:cs="Times New Roman"/>
          <w:sz w:val="21"/>
          <w:szCs w:val="21"/>
          <w:shd w:val="clear" w:color="auto" w:fill="FFFFFF"/>
        </w:rPr>
        <w:t>凤仙萜四醇皂苷L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</w:t>
      </w:r>
      <w:r>
        <w:rPr>
          <w:rFonts w:hint="eastAsia" w:ascii="Times New Roman" w:hAnsi="Times New Roman" w:eastAsia="宋体" w:cs="Times New Roman"/>
          <w:sz w:val="21"/>
          <w:szCs w:val="21"/>
        </w:rPr>
        <w:t>：</w:t>
      </w:r>
      <w:r>
        <w:rPr>
          <w:rFonts w:ascii="Times New Roman" w:hAnsi="Times New Roman" w:eastAsia="宋体" w:cs="Times New Roman"/>
          <w:sz w:val="21"/>
          <w:szCs w:val="21"/>
        </w:rPr>
        <w:t>Triart C18</w:t>
      </w:r>
      <w:r>
        <w:rPr>
          <w:rFonts w:hint="eastAsia" w:ascii="Times New Roman" w:hAnsi="Times New Roman" w:eastAsia="宋体" w:cs="Times New Roman"/>
          <w:sz w:val="21"/>
          <w:szCs w:val="21"/>
        </w:rPr>
        <w:t>，</w:t>
      </w:r>
      <w:r>
        <w:rPr>
          <w:rFonts w:ascii="Times New Roman" w:hAnsi="Times New Roman" w:eastAsia="宋体" w:cs="Times New Roman"/>
          <w:sz w:val="21"/>
          <w:szCs w:val="21"/>
        </w:rPr>
        <w:t>4.6mm</w:t>
      </w:r>
      <w:r>
        <w:rPr>
          <w:rFonts w:ascii="Times New Roman" w:hAnsi="Times New Roman" w:eastAsia="宋体" w:cs="Times New Roman"/>
          <w:sz w:val="21"/>
          <w:szCs w:val="21"/>
        </w:rPr>
        <w:sym w:font="Wingdings 2" w:char="F0CD"/>
      </w:r>
      <w:r>
        <w:rPr>
          <w:rFonts w:ascii="Times New Roman" w:hAnsi="Times New Roman" w:eastAsia="宋体" w:cs="Times New Roman"/>
          <w:sz w:val="21"/>
          <w:szCs w:val="21"/>
        </w:rPr>
        <w:t>250mm，5μm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sz w:val="24"/>
          <w:szCs w:val="24"/>
        </w:rPr>
        <w:t>含量测定】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</w:t>
      </w:r>
      <w:r>
        <w:rPr>
          <w:rFonts w:hint="eastAsia" w:ascii="Times New Roman" w:hAnsi="Times New Roman" w:eastAsia="宋体" w:cs="Times New Roman"/>
          <w:sz w:val="24"/>
          <w:szCs w:val="24"/>
        </w:rPr>
        <w:t>中国药典2020</w:t>
      </w:r>
      <w:r>
        <w:rPr>
          <w:rFonts w:ascii="Times New Roman" w:hAnsi="Times New Roman" w:eastAsia="宋体" w:cs="Times New Roman"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jc w:val="left"/>
        <w:textAlignment w:val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色谱条件与系统适用性试验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kern w:val="0"/>
          <w:sz w:val="24"/>
          <w:szCs w:val="24"/>
        </w:rPr>
        <w:t>以十八烷基硅烷键合硅胶为填充剂</w:t>
      </w:r>
      <w:r>
        <w:rPr>
          <w:rFonts w:ascii="Times New Roman" w:hAnsi="Times New Roman" w:eastAsia="宋体" w:cs="Times New Roman"/>
          <w:sz w:val="24"/>
          <w:szCs w:val="24"/>
        </w:rPr>
        <w:t>；以乙腈为流动相A，以水为流动相B，</w:t>
      </w:r>
      <w:r>
        <w:rPr>
          <w:rFonts w:hint="eastAsia" w:ascii="Times New Roman" w:hAnsi="Times New Roman" w:eastAsia="宋体" w:cs="Times New Roman"/>
          <w:sz w:val="24"/>
          <w:szCs w:val="24"/>
        </w:rPr>
        <w:t>按下表中的规定进行梯度洗脱</w:t>
      </w:r>
      <w:r>
        <w:rPr>
          <w:rFonts w:ascii="Times New Roman" w:hAnsi="Times New Roman" w:eastAsia="宋体" w:cs="Times New Roman"/>
          <w:sz w:val="24"/>
          <w:szCs w:val="24"/>
        </w:rPr>
        <w:t>；流速为每分钟1.0ml；柱温为35℃；蒸发光散射检测器；载气流速为每分钟3.0L；漂移管温度为110℃。理论板数按凤仙萜四醇皂苷K计算应不低于3000。</w:t>
      </w:r>
    </w:p>
    <w:tbl>
      <w:tblPr>
        <w:tblStyle w:val="5"/>
        <w:tblW w:w="85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2"/>
        <w:gridCol w:w="2843"/>
        <w:gridCol w:w="2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4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84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流动相A（%）</w:t>
            </w:r>
          </w:p>
        </w:tc>
        <w:tc>
          <w:tcPr>
            <w:tcW w:w="284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流动相B（%）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84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0~5</w:t>
            </w:r>
          </w:p>
        </w:tc>
        <w:tc>
          <w:tcPr>
            <w:tcW w:w="28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15→25</w:t>
            </w:r>
          </w:p>
        </w:tc>
        <w:tc>
          <w:tcPr>
            <w:tcW w:w="28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85→75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5~25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284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25~40</w:t>
            </w:r>
          </w:p>
        </w:tc>
        <w:tc>
          <w:tcPr>
            <w:tcW w:w="284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25→40</w:t>
            </w:r>
          </w:p>
        </w:tc>
        <w:tc>
          <w:tcPr>
            <w:tcW w:w="284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75→60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对照品溶液的制备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取凤仙萜四醇皂苷K对照品和凤仙萜四醇皂苷A对照品适量，精密称定，加甲醇制成每1ml含凤仙萜四醇皂苷K 400μg、凤仙萜四醇皂苷A 300μg的溶液，即得。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供试品溶液的制备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0.5g，精密称定，置具塞锥形瓶中，精密加入80%甲醇50ml，称定重量，超声处理（功率250W，频率40kHz）30分钟，放冷，再称定重量，用80%甲醇补足减失的重量，离心，精密量取上清液25ml，水浴蒸干，残渣加80%甲醇溶解，转移至5ml量瓶中，加80%甲醇至刻度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测定法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精密吸取对照品溶液5μl，15μl与供试品溶液10μl，注入液相色谱仪，测定，用外标两点法对数方程计算，即得。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本品每1g含凤仙萜四醇皂苷K（C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54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92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25</w:t>
      </w:r>
      <w:r>
        <w:rPr>
          <w:rFonts w:ascii="Times New Roman" w:hAnsi="Times New Roman" w:eastAsia="宋体" w:cs="Times New Roman"/>
          <w:sz w:val="24"/>
          <w:szCs w:val="24"/>
        </w:rPr>
        <w:t>）和凤仙萜四醇皂苷A（C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48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82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20</w:t>
      </w:r>
      <w:r>
        <w:rPr>
          <w:rFonts w:ascii="Times New Roman" w:hAnsi="Times New Roman" w:eastAsia="宋体" w:cs="Times New Roman"/>
          <w:sz w:val="24"/>
          <w:szCs w:val="24"/>
        </w:rPr>
        <w:t>）总量应为4.0mg~15.0mg。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sz w:val="24"/>
          <w:szCs w:val="24"/>
        </w:rPr>
        <w:t>规格</w:t>
      </w:r>
      <w:r>
        <w:rPr>
          <w:rFonts w:ascii="Times New Roman" w:hAnsi="Times New Roman" w:eastAsia="宋体" w:cs="Times New Roman"/>
          <w:sz w:val="24"/>
          <w:szCs w:val="24"/>
        </w:rPr>
        <w:t xml:space="preserve">】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每1g配方颗粒相当于饮片6</w:t>
      </w:r>
      <w:r>
        <w:rPr>
          <w:rFonts w:hint="eastAsia" w:ascii="Times New Roman" w:hAnsi="Times New Roman" w:eastAsia="宋体" w:cs="Times New Roman"/>
          <w:sz w:val="24"/>
          <w:szCs w:val="24"/>
        </w:rPr>
        <w:t>g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注意</w:t>
      </w:r>
      <w:r>
        <w:rPr>
          <w:rFonts w:ascii="Times New Roman" w:hAnsi="Times New Roman" w:eastAsia="宋体" w:cs="Times New Roman"/>
          <w:sz w:val="24"/>
          <w:szCs w:val="24"/>
        </w:rPr>
        <w:t xml:space="preserve">】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孕妇慎用。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【贮藏】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密封。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kylin" w:date="2022-04-19T10:48:35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E3F4D"/>
    <w:rsid w:val="11F428B8"/>
    <w:rsid w:val="16EE5AC6"/>
    <w:rsid w:val="1E191157"/>
    <w:rsid w:val="1F1420E2"/>
    <w:rsid w:val="4241173F"/>
    <w:rsid w:val="4AAD5B18"/>
    <w:rsid w:val="55CB00CA"/>
    <w:rsid w:val="680363FA"/>
    <w:rsid w:val="6E7F72B6"/>
    <w:rsid w:val="F770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1587</Words>
  <Characters>1889</Characters>
  <Lines>0</Lines>
  <Paragraphs>0</Paragraphs>
  <TotalTime>0</TotalTime>
  <ScaleCrop>false</ScaleCrop>
  <LinksUpToDate>false</LinksUpToDate>
  <CharactersWithSpaces>1939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2021-11-18T16:39:00Z</dcterms:created>
  <dc:creator>lenovo</dc:creator>
  <cp:lastModifiedBy>kylin</cp:lastModifiedBy>
  <cp:lastPrinted>2022-03-31T17:10:00Z</cp:lastPrinted>
  <dcterms:modified xsi:type="dcterms:W3CDTF">2022-04-19T10:48:38Z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C321CEB9FCE243FA9263079029C1A3E4</vt:lpwstr>
  </property>
</Properties>
</file>