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Times New Roman" w:hAnsi="Times New Roman" w:eastAsia="仿宋_GB2312" w:cs="Times New Roman"/>
          <w:color w:val="auto"/>
          <w:sz w:val="32"/>
          <w:szCs w:val="32"/>
          <w:highlight w:val="none"/>
          <w:lang w:eastAsia="zh-CN"/>
        </w:rPr>
      </w:pPr>
    </w:p>
    <w:p>
      <w:pPr>
        <w:pStyle w:val="4"/>
        <w:rPr>
          <w:rFonts w:hint="eastAsia" w:ascii="Times New Roman" w:hAnsi="Times New Roman" w:eastAsia="仿宋_GB2312" w:cs="Times New Roman"/>
          <w:color w:val="auto"/>
          <w:sz w:val="32"/>
          <w:szCs w:val="32"/>
          <w:highlight w:val="none"/>
        </w:rPr>
      </w:pPr>
    </w:p>
    <w:p>
      <w:pPr>
        <w:pStyle w:val="8"/>
        <w:snapToGrid w:val="0"/>
        <w:spacing w:before="0" w:after="0" w:line="600" w:lineRule="exact"/>
        <w:ind w:firstLine="0" w:firstLineChars="0"/>
        <w:jc w:val="center"/>
        <w:outlineLvl w:val="0"/>
        <w:rPr>
          <w:rFonts w:hint="eastAsia" w:ascii="Times New Roman" w:hAnsi="Times New Roman" w:eastAsia="方正小标宋简体" w:cs="Times New Roman"/>
          <w:color w:val="auto"/>
          <w:sz w:val="44"/>
          <w:szCs w:val="44"/>
          <w:highlight w:val="none"/>
          <w:shd w:val="clear" w:color="auto" w:fill="auto"/>
        </w:rPr>
      </w:pPr>
      <w:r>
        <w:rPr>
          <w:rFonts w:hint="eastAsia" w:ascii="Times New Roman" w:hAnsi="Times New Roman" w:eastAsia="方正小标宋简体" w:cs="Times New Roman"/>
          <w:color w:val="auto"/>
          <w:sz w:val="44"/>
          <w:szCs w:val="44"/>
          <w:highlight w:val="none"/>
          <w:shd w:val="clear" w:color="auto" w:fill="auto"/>
        </w:rPr>
        <w:t>浙江省老年健康服务专项行动实施方案</w:t>
      </w:r>
    </w:p>
    <w:p>
      <w:pPr>
        <w:pStyle w:val="8"/>
        <w:snapToGrid w:val="0"/>
        <w:spacing w:before="0" w:after="0" w:line="600" w:lineRule="exact"/>
        <w:ind w:firstLine="0" w:firstLineChars="0"/>
        <w:jc w:val="center"/>
        <w:outlineLvl w:val="0"/>
        <w:rPr>
          <w:rFonts w:hint="eastAsia" w:ascii="Times New Roman" w:hAnsi="Times New Roman" w:eastAsia="方正小标宋简体" w:cs="Times New Roman"/>
          <w:color w:val="auto"/>
          <w:sz w:val="44"/>
          <w:szCs w:val="44"/>
          <w:highlight w:val="none"/>
          <w:shd w:val="clear" w:color="auto" w:fill="auto"/>
        </w:rPr>
      </w:pPr>
      <w:r>
        <w:rPr>
          <w:rFonts w:hint="eastAsia" w:ascii="Times New Roman" w:hAnsi="Times New Roman" w:eastAsia="方正小标宋简体" w:cs="Times New Roman"/>
          <w:color w:val="auto"/>
          <w:sz w:val="44"/>
          <w:szCs w:val="44"/>
          <w:highlight w:val="none"/>
          <w:shd w:val="clear" w:color="auto" w:fill="auto"/>
        </w:rPr>
        <w:t>（2022</w:t>
      </w:r>
      <w:r>
        <w:rPr>
          <w:rFonts w:hint="eastAsia" w:ascii="Times New Roman" w:hAnsi="Times New Roman" w:eastAsia="方正小标宋简体" w:cs="Times New Roman"/>
          <w:color w:val="auto"/>
          <w:sz w:val="44"/>
          <w:szCs w:val="44"/>
          <w:highlight w:val="none"/>
          <w:shd w:val="clear" w:color="auto" w:fill="auto"/>
          <w:lang w:eastAsia="zh-CN"/>
        </w:rPr>
        <w:t>—</w:t>
      </w:r>
      <w:r>
        <w:rPr>
          <w:rFonts w:hint="eastAsia" w:ascii="Times New Roman" w:hAnsi="Times New Roman" w:eastAsia="方正小标宋简体" w:cs="Times New Roman"/>
          <w:color w:val="auto"/>
          <w:sz w:val="44"/>
          <w:szCs w:val="44"/>
          <w:highlight w:val="none"/>
          <w:shd w:val="clear" w:color="auto" w:fill="auto"/>
        </w:rPr>
        <w:t>2025年）</w:t>
      </w:r>
    </w:p>
    <w:p>
      <w:pPr>
        <w:pStyle w:val="8"/>
        <w:snapToGrid w:val="0"/>
        <w:spacing w:before="0" w:after="0" w:line="600" w:lineRule="exact"/>
        <w:ind w:firstLine="0" w:firstLineChars="0"/>
        <w:jc w:val="center"/>
        <w:outlineLvl w:val="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（征求意见稿）</w:t>
      </w:r>
    </w:p>
    <w:p>
      <w:pPr>
        <w:pStyle w:val="8"/>
        <w:snapToGrid w:val="0"/>
        <w:spacing w:before="0" w:after="0" w:line="600" w:lineRule="exact"/>
        <w:ind w:firstLine="643" w:firstLineChars="200"/>
        <w:outlineLvl w:val="0"/>
        <w:rPr>
          <w:rFonts w:ascii="Times New Roman" w:hAnsi="Times New Roman" w:eastAsia="楷体_GB2312" w:cs="Times New Roman"/>
          <w:b/>
          <w:bCs/>
          <w:shd w:val="clear" w:color="auto" w:fill="FFFFFF"/>
        </w:rPr>
      </w:pPr>
    </w:p>
    <w:p>
      <w:pPr>
        <w:widowControl/>
        <w:spacing w:line="60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为贯彻落实</w:t>
      </w:r>
      <w:r>
        <w:rPr>
          <w:rFonts w:hint="eastAsia" w:ascii="Times New Roman" w:hAnsi="Times New Roman" w:eastAsia="仿宋_GB2312" w:cs="Times New Roman"/>
          <w:sz w:val="32"/>
          <w:szCs w:val="32"/>
          <w:shd w:val="clear" w:color="auto" w:fill="FFFFFF"/>
        </w:rPr>
        <w:t>党中央国务院加强新时代</w:t>
      </w:r>
      <w:r>
        <w:rPr>
          <w:rFonts w:ascii="Times New Roman" w:hAnsi="Times New Roman" w:eastAsia="仿宋_GB2312" w:cs="Times New Roman"/>
          <w:sz w:val="32"/>
          <w:szCs w:val="32"/>
          <w:shd w:val="clear" w:color="auto" w:fill="FFFFFF"/>
        </w:rPr>
        <w:t>老龄工作</w:t>
      </w:r>
      <w:r>
        <w:rPr>
          <w:rFonts w:hint="eastAsia" w:ascii="Times New Roman" w:hAnsi="Times New Roman" w:eastAsia="仿宋_GB2312" w:cs="Times New Roman"/>
          <w:sz w:val="32"/>
          <w:szCs w:val="32"/>
          <w:shd w:val="clear" w:color="auto" w:fill="FFFFFF"/>
        </w:rPr>
        <w:t>的决策部署，</w:t>
      </w:r>
      <w:r>
        <w:rPr>
          <w:rFonts w:ascii="Times New Roman" w:hAnsi="Times New Roman" w:eastAsia="仿宋_GB2312" w:cs="Times New Roman"/>
          <w:sz w:val="32"/>
          <w:szCs w:val="32"/>
          <w:shd w:val="clear" w:color="auto" w:fill="FFFFFF"/>
        </w:rPr>
        <w:t>协同推进积极应对人口老龄化国家战略</w:t>
      </w:r>
      <w:r>
        <w:rPr>
          <w:rFonts w:hint="eastAsia" w:ascii="Times New Roman" w:hAnsi="Times New Roman" w:eastAsia="仿宋_GB2312" w:cs="Times New Roman"/>
          <w:sz w:val="32"/>
          <w:szCs w:val="32"/>
          <w:shd w:val="clear" w:color="auto" w:fill="FFFFFF"/>
        </w:rPr>
        <w:t>和高质量发展建设共同富裕示范区</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着力打造“浙里长寿”金名片，完善老年健康支撑体系，</w:t>
      </w:r>
      <w:r>
        <w:rPr>
          <w:rFonts w:hint="eastAsia" w:ascii="Times New Roman" w:hAnsi="Times New Roman" w:eastAsia="仿宋_GB2312" w:cs="Times New Roman"/>
          <w:sz w:val="32"/>
          <w:szCs w:val="32"/>
          <w:shd w:val="clear" w:color="auto" w:fill="FFFFFF"/>
          <w:lang w:eastAsia="zh-CN"/>
        </w:rPr>
        <w:t>统筹推进老年健康促进行动，</w:t>
      </w:r>
      <w:r>
        <w:rPr>
          <w:rFonts w:ascii="Times New Roman" w:hAnsi="Times New Roman" w:eastAsia="仿宋_GB2312" w:cs="Times New Roman"/>
          <w:sz w:val="32"/>
          <w:szCs w:val="32"/>
          <w:shd w:val="clear" w:color="auto" w:fill="FFFFFF"/>
        </w:rPr>
        <w:t>切实提高老年</w:t>
      </w:r>
      <w:r>
        <w:rPr>
          <w:rFonts w:hint="eastAsia" w:ascii="Times New Roman" w:hAnsi="Times New Roman" w:eastAsia="仿宋_GB2312" w:cs="Times New Roman"/>
          <w:sz w:val="32"/>
          <w:szCs w:val="32"/>
          <w:shd w:val="clear" w:color="auto" w:fill="FFFFFF"/>
        </w:rPr>
        <w:t>人</w:t>
      </w:r>
      <w:r>
        <w:rPr>
          <w:rFonts w:ascii="Times New Roman" w:hAnsi="Times New Roman" w:eastAsia="仿宋_GB2312" w:cs="Times New Roman"/>
          <w:sz w:val="32"/>
          <w:szCs w:val="32"/>
          <w:shd w:val="clear" w:color="auto" w:fill="FFFFFF"/>
        </w:rPr>
        <w:t>健康</w:t>
      </w:r>
      <w:r>
        <w:rPr>
          <w:rFonts w:hint="eastAsia" w:ascii="Times New Roman" w:hAnsi="Times New Roman" w:eastAsia="仿宋_GB2312" w:cs="Times New Roman"/>
          <w:sz w:val="32"/>
          <w:szCs w:val="32"/>
          <w:shd w:val="clear" w:color="auto" w:fill="FFFFFF"/>
        </w:rPr>
        <w:t>水平，</w:t>
      </w:r>
      <w:r>
        <w:rPr>
          <w:rFonts w:hint="eastAsia" w:ascii="Times New Roman" w:hAnsi="Times New Roman" w:eastAsia="仿宋_GB2312" w:cs="Times New Roman"/>
          <w:sz w:val="32"/>
          <w:szCs w:val="32"/>
          <w:shd w:val="clear" w:color="auto" w:fill="FFFFFF"/>
          <w:lang w:eastAsia="zh-CN"/>
        </w:rPr>
        <w:t>助力</w:t>
      </w:r>
      <w:r>
        <w:rPr>
          <w:rFonts w:hint="eastAsia" w:ascii="Times New Roman" w:hAnsi="Times New Roman" w:eastAsia="仿宋_GB2312" w:cs="Times New Roman"/>
          <w:sz w:val="32"/>
          <w:szCs w:val="32"/>
          <w:shd w:val="clear" w:color="auto" w:fill="FFFFFF"/>
          <w:lang w:val="en-US" w:eastAsia="zh-CN"/>
        </w:rPr>
        <w:t>2025年基本建成健康浙江，</w:t>
      </w:r>
      <w:r>
        <w:rPr>
          <w:rFonts w:hint="eastAsia" w:ascii="Times New Roman" w:hAnsi="Times New Roman" w:eastAsia="仿宋_GB2312" w:cs="Times New Roman"/>
          <w:sz w:val="32"/>
          <w:szCs w:val="32"/>
          <w:shd w:val="clear" w:color="auto" w:fill="FFFFFF"/>
        </w:rPr>
        <w:t>特制定</w:t>
      </w:r>
      <w:r>
        <w:rPr>
          <w:rFonts w:ascii="Times New Roman" w:hAnsi="Times New Roman" w:eastAsia="仿宋_GB2312" w:cs="Times New Roman"/>
          <w:sz w:val="32"/>
          <w:szCs w:val="32"/>
          <w:shd w:val="clear" w:color="auto" w:fill="FFFFFF"/>
        </w:rPr>
        <w:t>老年健康服务</w:t>
      </w:r>
      <w:r>
        <w:rPr>
          <w:rFonts w:hint="eastAsia" w:ascii="Times New Roman" w:hAnsi="Times New Roman" w:eastAsia="仿宋_GB2312" w:cs="Times New Roman"/>
          <w:sz w:val="32"/>
          <w:szCs w:val="32"/>
          <w:shd w:val="clear" w:color="auto" w:fill="FFFFFF"/>
        </w:rPr>
        <w:t>专项行动</w:t>
      </w:r>
      <w:r>
        <w:rPr>
          <w:rFonts w:hint="eastAsia" w:eastAsia="仿宋_GB2312" w:cs="Times New Roman"/>
          <w:sz w:val="32"/>
          <w:szCs w:val="32"/>
          <w:shd w:val="clear" w:color="auto" w:fill="FFFFFF"/>
          <w:lang w:eastAsia="zh-CN"/>
        </w:rPr>
        <w:t>实施</w:t>
      </w:r>
      <w:r>
        <w:rPr>
          <w:rFonts w:hint="eastAsia" w:ascii="Times New Roman" w:hAnsi="Times New Roman" w:eastAsia="仿宋_GB2312" w:cs="Times New Roman"/>
          <w:sz w:val="32"/>
          <w:szCs w:val="32"/>
          <w:shd w:val="clear" w:color="auto" w:fill="FFFFFF"/>
        </w:rPr>
        <w:t>方案（2022</w:t>
      </w:r>
      <w:r>
        <w:rPr>
          <w:rFonts w:hint="eastAsia"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2025年）。</w:t>
      </w:r>
      <w:bookmarkStart w:id="0" w:name="_GoBack"/>
      <w:bookmarkEnd w:id="0"/>
    </w:p>
    <w:p>
      <w:pPr>
        <w:widowControl/>
        <w:spacing w:line="600" w:lineRule="exact"/>
        <w:ind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一、工作目标</w:t>
      </w:r>
    </w:p>
    <w:p>
      <w:pPr>
        <w:pStyle w:val="8"/>
        <w:snapToGrid w:val="0"/>
        <w:spacing w:before="0" w:after="0" w:line="600" w:lineRule="exact"/>
        <w:ind w:firstLine="640" w:firstLineChars="200"/>
        <w:outlineLvl w:val="0"/>
        <w:rPr>
          <w:rFonts w:ascii="Times New Roman" w:hAnsi="Times New Roman" w:eastAsia="楷体_GB2312" w:cs="Times New Roman"/>
          <w:b/>
          <w:bCs/>
          <w:shd w:val="clear" w:color="auto" w:fill="FFFFFF"/>
        </w:rPr>
      </w:pPr>
      <w:r>
        <w:rPr>
          <w:rFonts w:hint="eastAsia" w:ascii="Times New Roman" w:hAnsi="Times New Roman" w:eastAsia="仿宋_GB2312" w:cs="Times New Roman"/>
          <w:shd w:val="clear" w:color="auto" w:fill="FFFFFF"/>
        </w:rPr>
        <w:t>坚持</w:t>
      </w:r>
      <w:r>
        <w:rPr>
          <w:rFonts w:ascii="Times New Roman" w:hAnsi="Times New Roman" w:eastAsia="仿宋_GB2312" w:cs="Times New Roman"/>
          <w:shd w:val="clear" w:color="auto" w:fill="FFFFFF"/>
        </w:rPr>
        <w:t>“以健康为中心”</w:t>
      </w:r>
      <w:r>
        <w:rPr>
          <w:rFonts w:hint="eastAsia" w:ascii="Times New Roman" w:hAnsi="Times New Roman" w:eastAsia="仿宋_GB2312" w:cs="Times New Roman"/>
          <w:shd w:val="clear" w:color="auto" w:fill="FFFFFF"/>
        </w:rPr>
        <w:t>，</w:t>
      </w:r>
      <w:r>
        <w:rPr>
          <w:rFonts w:ascii="Times New Roman" w:hAnsi="Times New Roman" w:eastAsia="仿宋_GB2312" w:cs="Times New Roman"/>
          <w:shd w:val="clear" w:color="auto" w:fill="FFFFFF"/>
        </w:rPr>
        <w:t>推进老年</w:t>
      </w:r>
      <w:r>
        <w:rPr>
          <w:rFonts w:hint="eastAsia" w:ascii="Times New Roman" w:hAnsi="Times New Roman" w:eastAsia="仿宋_GB2312" w:cs="Times New Roman"/>
          <w:shd w:val="clear" w:color="auto" w:fill="FFFFFF"/>
          <w:lang w:eastAsia="zh-CN"/>
        </w:rPr>
        <w:t>疾病</w:t>
      </w:r>
      <w:r>
        <w:rPr>
          <w:rFonts w:ascii="Times New Roman" w:hAnsi="Times New Roman" w:eastAsia="仿宋_GB2312" w:cs="Times New Roman"/>
          <w:shd w:val="clear" w:color="auto" w:fill="FFFFFF"/>
        </w:rPr>
        <w:t>预防关口前移，</w:t>
      </w:r>
      <w:r>
        <w:rPr>
          <w:rFonts w:hint="eastAsia" w:ascii="Times New Roman" w:hAnsi="Times New Roman" w:eastAsia="仿宋_GB2312" w:cs="Times New Roman"/>
          <w:shd w:val="clear" w:color="auto" w:fill="FFFFFF"/>
        </w:rPr>
        <w:t>制定实施针对老年人视力功能、口腔健康、认知功能、营养状况等的早期筛查干预措施，建立</w:t>
      </w:r>
      <w:r>
        <w:rPr>
          <w:rFonts w:hint="eastAsia" w:ascii="Times New Roman" w:hAnsi="Times New Roman" w:eastAsia="仿宋_GB2312" w:cs="Times New Roman"/>
        </w:rPr>
        <w:t>老年人健康评估与功能维护机制，</w:t>
      </w:r>
      <w:r>
        <w:rPr>
          <w:rFonts w:hint="eastAsia" w:ascii="Times New Roman" w:hAnsi="Times New Roman" w:eastAsia="仿宋_GB2312" w:cs="Times New Roman"/>
          <w:shd w:val="clear" w:color="auto" w:fill="FFFFFF"/>
        </w:rPr>
        <w:t>开</w:t>
      </w:r>
      <w:r>
        <w:rPr>
          <w:rFonts w:hint="eastAsia" w:ascii="Times New Roman" w:hAnsi="Times New Roman" w:eastAsia="仿宋_GB2312" w:cs="Times New Roman"/>
          <w:shd w:val="clear" w:color="auto" w:fill="FFFFFF"/>
          <w:lang w:eastAsia="zh-CN"/>
        </w:rPr>
        <w:t>发</w:t>
      </w:r>
      <w:r>
        <w:rPr>
          <w:rFonts w:hint="eastAsia" w:ascii="Times New Roman" w:hAnsi="Times New Roman" w:eastAsia="仿宋_GB2312" w:cs="Times New Roman"/>
          <w:shd w:val="clear" w:color="auto" w:fill="FFFFFF"/>
        </w:rPr>
        <w:t>应用数字健康服务技术，提升老年人健康管理水平，</w:t>
      </w:r>
      <w:r>
        <w:rPr>
          <w:rFonts w:ascii="Times New Roman" w:hAnsi="Times New Roman" w:eastAsia="仿宋_GB2312" w:cs="Times New Roman"/>
          <w:shd w:val="clear" w:color="auto" w:fill="FFFFFF"/>
        </w:rPr>
        <w:t>促进健康老龄化</w:t>
      </w:r>
      <w:r>
        <w:rPr>
          <w:rFonts w:hint="eastAsia" w:ascii="Times New Roman" w:hAnsi="Times New Roman" w:eastAsia="仿宋_GB2312" w:cs="Times New Roman"/>
          <w:shd w:val="clear" w:color="auto" w:fill="FFFFFF"/>
        </w:rPr>
        <w:t>。自2022年起，逐步在全省开展老年人“光明”“口福”“失智老人关爱”“营养改善”和健康服务“智慧助老”五大行动；至2025年，全省完成</w:t>
      </w:r>
      <w:r>
        <w:rPr>
          <w:rFonts w:ascii="Times New Roman" w:hAnsi="Times New Roman" w:eastAsia="仿宋_GB2312" w:cs="Times New Roman"/>
          <w:shd w:val="clear" w:color="auto" w:fill="FFFFFF"/>
        </w:rPr>
        <w:t>老年糖尿病患者眼底筛查</w:t>
      </w:r>
      <w:r>
        <w:rPr>
          <w:rFonts w:hint="eastAsia" w:ascii="Times New Roman" w:hAnsi="Times New Roman" w:eastAsia="仿宋_GB2312" w:cs="Times New Roman"/>
          <w:shd w:val="clear" w:color="auto" w:fill="FFFFFF"/>
        </w:rPr>
        <w:t>20万</w:t>
      </w:r>
      <w:r>
        <w:rPr>
          <w:rFonts w:ascii="Times New Roman" w:hAnsi="Times New Roman" w:eastAsia="仿宋_GB2312" w:cs="Times New Roman"/>
          <w:shd w:val="clear" w:color="auto" w:fill="FFFFFF"/>
        </w:rPr>
        <w:t>人</w:t>
      </w:r>
      <w:r>
        <w:rPr>
          <w:rFonts w:hint="eastAsia" w:ascii="Times New Roman" w:hAnsi="Times New Roman" w:eastAsia="仿宋_GB2312" w:cs="Times New Roman"/>
          <w:shd w:val="clear" w:color="auto" w:fill="FFFFFF"/>
        </w:rPr>
        <w:t>以上</w:t>
      </w:r>
      <w:r>
        <w:rPr>
          <w:rFonts w:ascii="Times New Roman" w:hAnsi="Times New Roman" w:eastAsia="仿宋_GB2312" w:cs="Times New Roman"/>
          <w:shd w:val="clear" w:color="auto" w:fill="FFFFFF"/>
        </w:rPr>
        <w:t>，</w:t>
      </w:r>
      <w:r>
        <w:rPr>
          <w:rFonts w:ascii="Times New Roman" w:hAnsi="Times New Roman" w:eastAsia="仿宋_GB2312" w:cs="Times New Roman"/>
          <w:bCs/>
          <w:lang w:eastAsia="zh-Hans"/>
        </w:rPr>
        <w:t>开展</w:t>
      </w:r>
      <w:r>
        <w:rPr>
          <w:rFonts w:hint="eastAsia" w:ascii="Times New Roman" w:hAnsi="Times New Roman" w:eastAsia="仿宋_GB2312" w:cs="Times New Roman"/>
          <w:bCs/>
        </w:rPr>
        <w:t>老年</w:t>
      </w:r>
      <w:r>
        <w:rPr>
          <w:rFonts w:hint="eastAsia" w:ascii="Times New Roman" w:hAnsi="Times New Roman" w:eastAsia="仿宋_GB2312" w:cs="Times New Roman"/>
          <w:bCs/>
          <w:lang w:eastAsia="zh-CN"/>
        </w:rPr>
        <w:t>痴呆</w:t>
      </w:r>
      <w:r>
        <w:rPr>
          <w:rFonts w:ascii="Times New Roman" w:hAnsi="Times New Roman" w:eastAsia="仿宋_GB2312" w:cs="Times New Roman"/>
          <w:bCs/>
          <w:lang w:eastAsia="zh-Hans"/>
        </w:rPr>
        <w:t>早期筛查</w:t>
      </w:r>
      <w:r>
        <w:rPr>
          <w:rFonts w:ascii="Times New Roman" w:hAnsi="Times New Roman" w:eastAsia="仿宋_GB2312" w:cs="Times New Roman"/>
          <w:bCs/>
        </w:rPr>
        <w:t>和</w:t>
      </w:r>
      <w:r>
        <w:rPr>
          <w:rFonts w:ascii="Times New Roman" w:hAnsi="Times New Roman" w:eastAsia="仿宋_GB2312" w:cs="Times New Roman"/>
          <w:shd w:val="clear" w:color="auto" w:fill="FFFFFF"/>
        </w:rPr>
        <w:t>心理健康评估</w:t>
      </w:r>
      <w:r>
        <w:rPr>
          <w:rFonts w:hint="eastAsia" w:ascii="Times New Roman" w:hAnsi="Times New Roman" w:eastAsia="仿宋_GB2312" w:cs="Times New Roman"/>
          <w:bCs/>
        </w:rPr>
        <w:t>10万</w:t>
      </w:r>
      <w:r>
        <w:rPr>
          <w:rFonts w:ascii="Times New Roman" w:hAnsi="Times New Roman" w:eastAsia="仿宋_GB2312" w:cs="Times New Roman"/>
          <w:bCs/>
        </w:rPr>
        <w:t>人以上，</w:t>
      </w:r>
      <w:r>
        <w:rPr>
          <w:rFonts w:hint="eastAsia" w:ascii="Times New Roman" w:hAnsi="Times New Roman" w:eastAsia="仿宋_GB2312" w:cs="Times New Roman"/>
          <w:shd w:val="clear" w:color="auto" w:fill="FFFFFF"/>
        </w:rPr>
        <w:t>为200万以上的老年人建立口腔档案和营养监测档案，</w:t>
      </w:r>
      <w:r>
        <w:rPr>
          <w:rFonts w:ascii="Times New Roman" w:hAnsi="Times New Roman" w:eastAsia="仿宋_GB2312" w:cs="Times New Roman"/>
          <w:shd w:val="clear" w:color="auto" w:fill="FFFFFF"/>
        </w:rPr>
        <w:t>开发老年数字健康服务</w:t>
      </w:r>
      <w:r>
        <w:rPr>
          <w:rFonts w:hint="eastAsia" w:ascii="Times New Roman" w:hAnsi="Times New Roman" w:eastAsia="仿宋_GB2312" w:cs="Times New Roman"/>
          <w:shd w:val="clear" w:color="auto" w:fill="FFFFFF"/>
        </w:rPr>
        <w:t>重大应用5项以上，</w:t>
      </w:r>
      <w:r>
        <w:rPr>
          <w:rFonts w:ascii="Times New Roman" w:hAnsi="Times New Roman" w:eastAsia="仿宋_GB2312" w:cs="Times New Roman"/>
          <w:shd w:val="clear" w:color="auto" w:fill="FFFFFF"/>
        </w:rPr>
        <w:t>老年人电子健康档案开放率达</w:t>
      </w:r>
      <w:r>
        <w:rPr>
          <w:rFonts w:hint="eastAsia" w:ascii="Times New Roman" w:hAnsi="Times New Roman" w:eastAsia="仿宋_GB2312" w:cs="Times New Roman"/>
          <w:shd w:val="clear" w:color="auto" w:fill="FFFFFF"/>
        </w:rPr>
        <w:t>80</w:t>
      </w:r>
      <w:r>
        <w:rPr>
          <w:rFonts w:ascii="Times New Roman" w:hAnsi="Times New Roman" w:eastAsia="仿宋_GB2312" w:cs="Times New Roman"/>
          <w:shd w:val="clear" w:color="auto" w:fill="FFFFFF"/>
        </w:rPr>
        <w:t>%以上。</w:t>
      </w:r>
    </w:p>
    <w:p>
      <w:pPr>
        <w:pStyle w:val="8"/>
        <w:snapToGrid w:val="0"/>
        <w:spacing w:before="0" w:after="0" w:line="600" w:lineRule="exact"/>
        <w:ind w:firstLine="640" w:firstLineChars="200"/>
        <w:outlineLvl w:val="0"/>
        <w:rPr>
          <w:rFonts w:hAnsi="黑体"/>
          <w:shd w:val="clear" w:color="auto" w:fill="FFFFFF"/>
        </w:rPr>
      </w:pPr>
      <w:r>
        <w:rPr>
          <w:rFonts w:hint="eastAsia" w:hAnsi="黑体"/>
          <w:shd w:val="clear" w:color="auto" w:fill="FFFFFF"/>
        </w:rPr>
        <w:t>二、</w:t>
      </w:r>
      <w:r>
        <w:rPr>
          <w:rFonts w:hAnsi="黑体"/>
          <w:shd w:val="clear" w:color="auto" w:fill="FFFFFF"/>
        </w:rPr>
        <w:t>老年健康服务“五大行动”</w:t>
      </w:r>
    </w:p>
    <w:p>
      <w:pPr>
        <w:pStyle w:val="8"/>
        <w:snapToGrid w:val="0"/>
        <w:spacing w:before="0" w:after="0" w:line="600" w:lineRule="exact"/>
        <w:ind w:firstLine="640" w:firstLineChars="200"/>
        <w:outlineLvl w:val="0"/>
        <w:rPr>
          <w:rFonts w:ascii="Times New Roman" w:hAnsi="Times New Roman" w:eastAsia="仿宋_GB2312" w:cs="Times New Roman"/>
          <w:bCs/>
        </w:rPr>
      </w:pPr>
      <w:r>
        <w:rPr>
          <w:rFonts w:hint="eastAsia" w:ascii="楷体_GB2312" w:hAnsi="楷体_GB2312" w:eastAsia="楷体_GB2312" w:cs="楷体_GB2312"/>
          <w:b w:val="0"/>
          <w:bCs w:val="0"/>
          <w:shd w:val="clear" w:color="auto" w:fill="FFFFFF"/>
        </w:rPr>
        <w:t>（一）老年人“光明”行动。</w:t>
      </w:r>
      <w:r>
        <w:rPr>
          <w:rFonts w:hint="eastAsia" w:ascii="Times New Roman" w:hAnsi="Times New Roman" w:eastAsia="仿宋_GB2312" w:cs="Times New Roman"/>
          <w:bCs/>
        </w:rPr>
        <w:t>各县（市、区）要组织开展老年糖尿病患者眼底筛查，以老年糖尿病患者为重点，开展眼底病的早筛早诊早治，降低老年人致盲率。依托城市医联体和县域医共体建立眼科专科联盟，推进基层医疗卫生机构慢性病一体化门诊建设，推动开展老年糖尿病患者眼底筛查，建立眼底照相“基层检查、上级诊断”服务模式。基层医疗卫生机构</w:t>
      </w:r>
      <w:r>
        <w:rPr>
          <w:rFonts w:hint="eastAsia" w:ascii="仿宋_GB2312" w:eastAsia="仿宋_GB2312"/>
        </w:rPr>
        <w:t>加强</w:t>
      </w:r>
      <w:r>
        <w:rPr>
          <w:rFonts w:hint="eastAsia" w:ascii="Times New Roman" w:hAnsi="Times New Roman" w:eastAsia="仿宋_GB2312" w:cs="Times New Roman"/>
          <w:bCs/>
        </w:rPr>
        <w:t>糖尿病患者的精细化健康管理</w:t>
      </w:r>
      <w:r>
        <w:rPr>
          <w:rFonts w:hint="eastAsia" w:ascii="仿宋_GB2312" w:eastAsia="仿宋_GB2312"/>
        </w:rPr>
        <w:t>，对眼底筛查结果异常的老年人，引导</w:t>
      </w:r>
      <w:r>
        <w:rPr>
          <w:rFonts w:hint="eastAsia" w:ascii="仿宋_GB2312" w:eastAsia="仿宋_GB2312"/>
          <w:lang w:eastAsia="zh-CN"/>
        </w:rPr>
        <w:t>或帮助转诊</w:t>
      </w:r>
      <w:r>
        <w:rPr>
          <w:rFonts w:hint="eastAsia" w:ascii="仿宋_GB2312" w:eastAsia="仿宋_GB2312"/>
        </w:rPr>
        <w:t>到上级医院进一步检查、诊断、治疗，降低糖尿病眼底病变等并发症发生率。</w:t>
      </w:r>
    </w:p>
    <w:p>
      <w:pPr>
        <w:pStyle w:val="8"/>
        <w:snapToGrid w:val="0"/>
        <w:spacing w:before="0" w:after="0" w:line="600" w:lineRule="exact"/>
        <w:ind w:firstLine="640" w:firstLineChars="200"/>
        <w:outlineLvl w:val="0"/>
        <w:rPr>
          <w:rFonts w:ascii="Times New Roman" w:hAnsi="Times New Roman" w:eastAsia="仿宋_GB2312" w:cs="Times New Roman"/>
          <w:color w:val="FF0000"/>
          <w:highlight w:val="yellow"/>
          <w:shd w:val="clear" w:color="auto" w:fill="FFFFFF"/>
        </w:rPr>
      </w:pPr>
      <w:r>
        <w:rPr>
          <w:rFonts w:hint="eastAsia" w:ascii="楷体_GB2312" w:hAnsi="楷体_GB2312" w:eastAsia="楷体_GB2312" w:cs="楷体_GB2312"/>
          <w:b w:val="0"/>
          <w:bCs w:val="0"/>
          <w:shd w:val="clear" w:color="auto" w:fill="FFFFFF"/>
        </w:rPr>
        <w:t>（二）</w:t>
      </w:r>
      <w:r>
        <w:rPr>
          <w:rFonts w:ascii="楷体_GB2312" w:hAnsi="楷体_GB2312" w:eastAsia="楷体_GB2312" w:cs="楷体_GB2312"/>
          <w:b w:val="0"/>
          <w:bCs w:val="0"/>
          <w:shd w:val="clear" w:color="auto" w:fill="FFFFFF"/>
        </w:rPr>
        <w:t>老年人“口福”行动</w:t>
      </w:r>
      <w:r>
        <w:rPr>
          <w:rFonts w:hint="eastAsia" w:ascii="Times New Roman" w:hAnsi="Times New Roman" w:eastAsia="仿宋_GB2312" w:cs="Times New Roman"/>
          <w:b w:val="0"/>
          <w:bCs w:val="0"/>
          <w:shd w:val="clear" w:color="auto" w:fill="FFFFFF"/>
        </w:rPr>
        <w:t>。</w:t>
      </w:r>
      <w:r>
        <w:rPr>
          <w:rFonts w:hint="eastAsia" w:ascii="Times New Roman" w:hAnsi="Times New Roman" w:eastAsia="仿宋_GB2312" w:cs="Times New Roman"/>
          <w:bCs/>
        </w:rPr>
        <w:t>各县（市、区）要组织</w:t>
      </w:r>
      <w:r>
        <w:rPr>
          <w:rFonts w:hint="eastAsia" w:ascii="Times New Roman" w:hAnsi="Times New Roman" w:eastAsia="仿宋_GB2312" w:cs="Times New Roman"/>
          <w:shd w:val="clear" w:color="auto" w:fill="FFFFFF"/>
        </w:rPr>
        <w:t>基层医疗卫生机构在老年人健康体检中开展口腔健康状况检查评估，建立老年人口腔健康档案，将普及口腔健康知识和防治口腔疾病相结合，</w:t>
      </w:r>
      <w:r>
        <w:rPr>
          <w:rFonts w:hint="eastAsia" w:ascii="仿宋_GB2312" w:eastAsia="仿宋_GB2312" w:cs="仿宋_GB2312"/>
        </w:rPr>
        <w:t>加强老年人自我口腔健康管理。</w:t>
      </w:r>
      <w:r>
        <w:rPr>
          <w:rFonts w:hint="eastAsia" w:ascii="仿宋_GB2312" w:eastAsia="仿宋_GB2312" w:cs="仿宋_GB2312"/>
          <w:color w:val="000000"/>
        </w:rPr>
        <w:t>基层医疗卫生机构、口腔专科医疗机构、医院口腔科、公共卫生机构之间要建立职责分工明确、优势资源互补的合作机制，</w:t>
      </w:r>
      <w:r>
        <w:rPr>
          <w:rFonts w:hint="eastAsia" w:ascii="仿宋_GB2312" w:eastAsia="仿宋_GB2312" w:cs="仿宋_GB2312"/>
        </w:rPr>
        <w:t>积极推进老年人龋病、牙周疾病和口腔粘膜疾病防治、义齿修复等服务，</w:t>
      </w:r>
      <w:r>
        <w:rPr>
          <w:rFonts w:hint="eastAsia" w:ascii="仿宋_GB2312" w:eastAsia="仿宋_GB2312" w:cs="仿宋_GB2312"/>
          <w:color w:val="000000"/>
        </w:rPr>
        <w:t>促进老年人牙周、口腔黏膜病变等疾病早诊早治，</w:t>
      </w:r>
      <w:r>
        <w:rPr>
          <w:rFonts w:hint="eastAsia" w:ascii="Times New Roman" w:hAnsi="Times New Roman" w:eastAsia="仿宋_GB2312" w:cs="Times New Roman"/>
          <w:shd w:val="clear" w:color="auto" w:fill="FFFFFF"/>
        </w:rPr>
        <w:t>稳步提高老年人口腔健康水平。</w:t>
      </w:r>
    </w:p>
    <w:p>
      <w:pPr>
        <w:widowControl/>
        <w:spacing w:line="600" w:lineRule="exact"/>
        <w:ind w:firstLine="640" w:firstLineChars="200"/>
        <w:jc w:val="left"/>
        <w:rPr>
          <w:rFonts w:ascii="Times New Roman" w:hAnsi="Times New Roman" w:eastAsia="仿宋_GB2312" w:cs="Times New Roman"/>
          <w:color w:val="FF0000"/>
          <w:sz w:val="32"/>
          <w:szCs w:val="32"/>
          <w:highlight w:val="yellow"/>
          <w:shd w:val="clear" w:color="auto" w:fill="FFFFFF"/>
        </w:rPr>
      </w:pPr>
      <w:r>
        <w:rPr>
          <w:rFonts w:hint="eastAsia" w:ascii="楷体_GB2312" w:hAnsi="楷体_GB2312" w:eastAsia="楷体_GB2312" w:cs="楷体_GB2312"/>
          <w:b w:val="0"/>
          <w:bCs w:val="0"/>
          <w:sz w:val="32"/>
          <w:szCs w:val="32"/>
          <w:shd w:val="clear" w:color="auto" w:fill="FFFFFF"/>
        </w:rPr>
        <w:t>（</w:t>
      </w:r>
      <w:r>
        <w:rPr>
          <w:rFonts w:ascii="楷体_GB2312" w:hAnsi="楷体_GB2312" w:eastAsia="楷体_GB2312" w:cs="楷体_GB2312"/>
          <w:b w:val="0"/>
          <w:bCs w:val="0"/>
          <w:sz w:val="32"/>
          <w:szCs w:val="32"/>
          <w:shd w:val="clear" w:color="auto" w:fill="FFFFFF"/>
        </w:rPr>
        <w:t>三</w:t>
      </w:r>
      <w:r>
        <w:rPr>
          <w:rFonts w:hint="eastAsia" w:ascii="楷体_GB2312" w:hAnsi="楷体_GB2312" w:eastAsia="楷体_GB2312" w:cs="楷体_GB2312"/>
          <w:b w:val="0"/>
          <w:bCs w:val="0"/>
          <w:sz w:val="32"/>
          <w:szCs w:val="32"/>
          <w:shd w:val="clear" w:color="auto" w:fill="FFFFFF"/>
        </w:rPr>
        <w:t>）</w:t>
      </w:r>
      <w:r>
        <w:rPr>
          <w:rFonts w:ascii="楷体_GB2312" w:hAnsi="楷体_GB2312" w:eastAsia="楷体_GB2312" w:cs="楷体_GB2312"/>
          <w:b w:val="0"/>
          <w:bCs w:val="0"/>
          <w:sz w:val="32"/>
          <w:szCs w:val="32"/>
          <w:shd w:val="clear" w:color="auto" w:fill="FFFFFF"/>
        </w:rPr>
        <w:t>失智老人关爱行动</w:t>
      </w:r>
      <w:r>
        <w:rPr>
          <w:rFonts w:hint="eastAsia" w:ascii="Times New Roman" w:hAnsi="Times New Roman" w:eastAsia="仿宋_GB2312" w:cs="Times New Roman"/>
          <w:b w:val="0"/>
          <w:bCs w:val="0"/>
          <w:sz w:val="32"/>
          <w:szCs w:val="32"/>
          <w:shd w:val="clear" w:color="auto" w:fill="FFFFFF"/>
        </w:rPr>
        <w:t>。</w:t>
      </w:r>
      <w:r>
        <w:rPr>
          <w:rFonts w:hint="eastAsia" w:ascii="Times New Roman" w:hAnsi="Times New Roman" w:eastAsia="仿宋_GB2312" w:cs="Times New Roman"/>
          <w:sz w:val="32"/>
          <w:szCs w:val="32"/>
          <w:shd w:val="clear" w:color="auto" w:fill="FFFFFF"/>
        </w:rPr>
        <w:t>省、市、县级精神卫生医疗机构与基层医疗卫生机构建立老年痴呆早期和心理健康筛查工作队伍。开展老年痴呆早期筛查和心理健康评估，及早识别老年人轻度认知障碍和抑郁症，对失能（失智）高风险老年人给予干预，预防或延缓老年人失能（失智）的发生。结合实施国家基本公共卫生服务项目和老年人健康体检，使用专业量表为辖区65岁及以上老年人开展认知功能评估和心理健康状况评估，</w:t>
      </w:r>
      <w:r>
        <w:rPr>
          <w:rFonts w:hint="eastAsia" w:ascii="仿宋_GB2312" w:eastAsia="仿宋_GB2312"/>
          <w:sz w:val="32"/>
          <w:szCs w:val="32"/>
        </w:rPr>
        <w:t>将筛查结果纳入老年人健康档案，对老年人</w:t>
      </w:r>
      <w:r>
        <w:rPr>
          <w:rFonts w:ascii="Times New Roman" w:hAnsi="Times New Roman" w:eastAsia="仿宋_GB2312" w:cs="Times New Roman"/>
          <w:bCs/>
          <w:sz w:val="32"/>
          <w:szCs w:val="32"/>
        </w:rPr>
        <w:t>进行包括慢性病自我健康管理、膳食营养、适宜运动等</w:t>
      </w:r>
      <w:r>
        <w:rPr>
          <w:rFonts w:hint="eastAsia" w:ascii="Times New Roman" w:hAnsi="Times New Roman" w:eastAsia="仿宋_GB2312" w:cs="Times New Roman"/>
          <w:bCs/>
          <w:sz w:val="32"/>
          <w:szCs w:val="32"/>
        </w:rPr>
        <w:t>失能（失智）防控健康教育。</w:t>
      </w:r>
      <w:r>
        <w:rPr>
          <w:rFonts w:hint="eastAsia" w:ascii="仿宋_GB2312" w:eastAsia="仿宋_GB2312"/>
          <w:sz w:val="32"/>
          <w:szCs w:val="32"/>
        </w:rPr>
        <w:t>对筛查结果异常的老年人，引导</w:t>
      </w:r>
      <w:r>
        <w:rPr>
          <w:rFonts w:hint="eastAsia" w:ascii="仿宋_GB2312" w:eastAsia="仿宋_GB2312"/>
          <w:sz w:val="32"/>
          <w:szCs w:val="32"/>
          <w:lang w:eastAsia="zh-CN"/>
        </w:rPr>
        <w:t>或帮助转诊</w:t>
      </w:r>
      <w:r>
        <w:rPr>
          <w:rFonts w:hint="eastAsia" w:ascii="仿宋_GB2312" w:eastAsia="仿宋_GB2312"/>
          <w:sz w:val="32"/>
          <w:szCs w:val="32"/>
        </w:rPr>
        <w:t>到精神卫生医疗机构做进一步诊断。</w:t>
      </w:r>
      <w:r>
        <w:rPr>
          <w:rFonts w:ascii="Times New Roman" w:hAnsi="Times New Roman" w:eastAsia="仿宋_GB2312" w:cs="Times New Roman"/>
          <w:bCs/>
          <w:sz w:val="32"/>
          <w:szCs w:val="32"/>
        </w:rPr>
        <w:t>对诊断为轻度认知障碍的老人</w:t>
      </w:r>
      <w:r>
        <w:rPr>
          <w:rFonts w:hint="eastAsia" w:ascii="Times New Roman" w:hAnsi="Times New Roman" w:eastAsia="仿宋_GB2312" w:cs="Times New Roman"/>
          <w:bCs/>
          <w:sz w:val="32"/>
          <w:szCs w:val="32"/>
        </w:rPr>
        <w:t>，指导</w:t>
      </w:r>
      <w:r>
        <w:rPr>
          <w:rFonts w:ascii="Times New Roman" w:hAnsi="Times New Roman" w:eastAsia="仿宋_GB2312" w:cs="Times New Roman"/>
          <w:bCs/>
          <w:sz w:val="32"/>
          <w:szCs w:val="32"/>
        </w:rPr>
        <w:t>由</w:t>
      </w:r>
      <w:r>
        <w:rPr>
          <w:rFonts w:hint="eastAsia" w:ascii="Times New Roman" w:hAnsi="Times New Roman" w:eastAsia="仿宋_GB2312" w:cs="Times New Roman"/>
          <w:bCs/>
          <w:sz w:val="32"/>
          <w:szCs w:val="32"/>
        </w:rPr>
        <w:t>基层</w:t>
      </w:r>
      <w:r>
        <w:rPr>
          <w:rFonts w:ascii="Times New Roman" w:hAnsi="Times New Roman" w:eastAsia="仿宋_GB2312" w:cs="Times New Roman"/>
          <w:bCs/>
          <w:sz w:val="32"/>
          <w:szCs w:val="32"/>
        </w:rPr>
        <w:t>医生开展常态化认知训练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预防和减少老年痴呆的发生。对确诊老年痴呆的患者</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对其家属和照料者开展培训</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提高干预率</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改善生活品质。对心理测评有抑郁情绪的老人提供心理咨询和及时转诊</w:t>
      </w:r>
      <w:r>
        <w:rPr>
          <w:rFonts w:hint="eastAsia" w:ascii="Times New Roman" w:hAnsi="Times New Roman" w:eastAsia="仿宋_GB2312" w:cs="Times New Roman"/>
          <w:bCs/>
          <w:sz w:val="32"/>
          <w:szCs w:val="32"/>
        </w:rPr>
        <w:t>。</w:t>
      </w:r>
    </w:p>
    <w:p>
      <w:pPr>
        <w:pStyle w:val="8"/>
        <w:snapToGrid w:val="0"/>
        <w:spacing w:before="0" w:after="0" w:line="600" w:lineRule="exact"/>
        <w:ind w:left="420" w:leftChars="200" w:firstLine="320" w:firstLineChars="100"/>
        <w:outlineLvl w:val="0"/>
        <w:rPr>
          <w:rFonts w:hint="default" w:ascii="Times New Roman" w:hAnsi="Times New Roman" w:eastAsia="仿宋_GB2312" w:cs="Times New Roman"/>
          <w:bCs/>
          <w:shd w:val="clear" w:color="auto" w:fill="auto"/>
        </w:rPr>
      </w:pPr>
      <w:r>
        <w:rPr>
          <w:rFonts w:hint="eastAsia" w:ascii="楷体_GB2312" w:hAnsi="楷体_GB2312" w:eastAsia="楷体_GB2312" w:cs="楷体_GB2312"/>
          <w:b w:val="0"/>
          <w:bCs w:val="0"/>
          <w:shd w:val="clear" w:color="auto" w:fill="FFFFFF"/>
        </w:rPr>
        <w:t>（四）</w:t>
      </w:r>
      <w:r>
        <w:rPr>
          <w:rFonts w:ascii="楷体_GB2312" w:hAnsi="楷体_GB2312" w:eastAsia="楷体_GB2312" w:cs="楷体_GB2312"/>
          <w:b w:val="0"/>
          <w:bCs w:val="0"/>
          <w:shd w:val="clear" w:color="auto" w:fill="FFFFFF"/>
        </w:rPr>
        <w:t>老年</w:t>
      </w:r>
      <w:r>
        <w:rPr>
          <w:rFonts w:hint="eastAsia" w:ascii="楷体_GB2312" w:hAnsi="楷体_GB2312" w:eastAsia="楷体_GB2312" w:cs="楷体_GB2312"/>
          <w:b w:val="0"/>
          <w:bCs w:val="0"/>
          <w:shd w:val="clear" w:color="auto" w:fill="FFFFFF"/>
          <w:lang w:eastAsia="zh-CN"/>
        </w:rPr>
        <w:t>人</w:t>
      </w:r>
      <w:r>
        <w:rPr>
          <w:rFonts w:ascii="楷体_GB2312" w:hAnsi="楷体_GB2312" w:eastAsia="楷体_GB2312" w:cs="楷体_GB2312"/>
          <w:b w:val="0"/>
          <w:bCs w:val="0"/>
          <w:shd w:val="clear" w:color="auto" w:fill="FFFFFF"/>
        </w:rPr>
        <w:t>营养改善行动</w:t>
      </w:r>
      <w:r>
        <w:rPr>
          <w:rFonts w:hint="eastAsia" w:ascii="楷体_GB2312" w:hAnsi="楷体_GB2312" w:eastAsia="楷体_GB2312" w:cs="楷体_GB2312"/>
          <w:b w:val="0"/>
          <w:bCs w:val="0"/>
          <w:shd w:val="clear" w:color="auto" w:fill="FFFFFF"/>
        </w:rPr>
        <w:t>。</w:t>
      </w:r>
      <w:r>
        <w:rPr>
          <w:rFonts w:hint="default" w:ascii="Times New Roman" w:hAnsi="Times New Roman" w:eastAsia="仿宋_GB2312" w:cs="Times New Roman"/>
          <w:bCs/>
        </w:rPr>
        <w:t>各县（市、区）要组织</w:t>
      </w:r>
      <w:r>
        <w:rPr>
          <w:rFonts w:hint="default" w:ascii="Times New Roman" w:hAnsi="Times New Roman" w:eastAsia="仿宋_GB2312" w:cs="Times New Roman"/>
          <w:bCs/>
          <w:shd w:val="clear" w:color="auto" w:fill="auto"/>
        </w:rPr>
        <w:t>基层</w:t>
      </w:r>
    </w:p>
    <w:p>
      <w:pPr>
        <w:pStyle w:val="8"/>
        <w:snapToGrid w:val="0"/>
        <w:spacing w:before="0" w:after="0" w:line="600" w:lineRule="exact"/>
        <w:ind w:left="0" w:leftChars="0" w:firstLine="0" w:firstLineChars="0"/>
        <w:outlineLvl w:val="0"/>
        <w:rPr>
          <w:rFonts w:ascii="Times New Roman" w:hAnsi="Times New Roman" w:eastAsia="仿宋_GB2312" w:cs="Times New Roman"/>
          <w:bCs/>
          <w:highlight w:val="yellow"/>
          <w:shd w:val="clear" w:color="auto" w:fill="auto"/>
        </w:rPr>
      </w:pPr>
      <w:r>
        <w:rPr>
          <w:rFonts w:hint="default" w:ascii="Times New Roman" w:hAnsi="Times New Roman" w:eastAsia="仿宋_GB2312" w:cs="Times New Roman"/>
          <w:bCs/>
          <w:shd w:val="clear" w:color="auto" w:fill="auto"/>
        </w:rPr>
        <w:t>医疗卫生机构结合老年人健康体检，参照“老年人营养不良风险评估”标准，采用简易微型营养评估表进行筛查，结合老年人患病情况、</w:t>
      </w:r>
      <w:r>
        <w:rPr>
          <w:rFonts w:hint="default" w:ascii="Times New Roman" w:hAnsi="Times New Roman" w:eastAsia="仿宋_GB2312" w:cs="Times New Roman"/>
          <w:bCs/>
          <w:shd w:val="clear" w:color="auto" w:fill="auto"/>
          <w:lang w:eastAsia="zh-CN"/>
        </w:rPr>
        <w:t>血红蛋白</w:t>
      </w:r>
      <w:r>
        <w:rPr>
          <w:rFonts w:hint="default" w:ascii="Times New Roman" w:hAnsi="Times New Roman" w:eastAsia="仿宋_GB2312" w:cs="Times New Roman"/>
          <w:bCs/>
          <w:shd w:val="clear" w:color="auto" w:fill="auto"/>
        </w:rPr>
        <w:t>等检验指标对老年人营养状况进行评估，</w:t>
      </w:r>
      <w:r>
        <w:rPr>
          <w:rFonts w:ascii="Times New Roman" w:hAnsi="Times New Roman" w:eastAsia="仿宋_GB2312" w:cs="Times New Roman"/>
          <w:bCs/>
        </w:rPr>
        <w:t>为</w:t>
      </w:r>
      <w:r>
        <w:rPr>
          <w:rFonts w:ascii="Times New Roman" w:hAnsi="Times New Roman" w:eastAsia="仿宋_GB2312" w:cs="Times New Roman"/>
          <w:bCs/>
          <w:shd w:val="clear" w:color="auto" w:fill="auto"/>
        </w:rPr>
        <w:t>老年人建立营养健康监测档案</w:t>
      </w:r>
      <w:r>
        <w:rPr>
          <w:rFonts w:hint="default" w:ascii="Times New Roman" w:hAnsi="Times New Roman" w:eastAsia="仿宋_GB2312" w:cs="Times New Roman"/>
          <w:bCs/>
          <w:shd w:val="clear" w:color="auto" w:fill="auto"/>
        </w:rPr>
        <w:t>。</w:t>
      </w:r>
      <w:r>
        <w:rPr>
          <w:rFonts w:hint="default" w:ascii="Times New Roman" w:hAnsi="Times New Roman" w:eastAsia="仿宋_GB2312" w:cs="Times New Roman"/>
          <w:bCs/>
        </w:rPr>
        <w:t>结合家庭医生签约服务、基本公共卫生服务项目等，对老年人给予膳食营养指导，提</w:t>
      </w:r>
      <w:r>
        <w:rPr>
          <w:rFonts w:hint="default" w:ascii="Times New Roman" w:hAnsi="Times New Roman" w:eastAsia="仿宋_GB2312" w:cs="Times New Roman"/>
          <w:bCs/>
          <w:shd w:val="clear" w:color="auto" w:fill="auto"/>
        </w:rPr>
        <w:t>倡“减盐、减油、减糖”，引导老年人形成科学的膳食习惯，</w:t>
      </w:r>
      <w:r>
        <w:rPr>
          <w:rFonts w:ascii="Times New Roman" w:hAnsi="Times New Roman" w:eastAsia="仿宋_GB2312" w:cs="Times New Roman"/>
          <w:bCs/>
          <w:shd w:val="clear" w:color="auto" w:fill="auto"/>
        </w:rPr>
        <w:t>降低老年人营养不良发生率</w:t>
      </w:r>
      <w:r>
        <w:rPr>
          <w:rFonts w:hint="default" w:ascii="Times New Roman" w:hAnsi="Times New Roman" w:eastAsia="仿宋_GB2312" w:cs="Times New Roman"/>
          <w:bCs/>
          <w:shd w:val="clear" w:color="auto" w:fill="auto"/>
        </w:rPr>
        <w:t>；对筛查结果为营养不良的老年人及低体重高龄老年人，要及时转诊到上级医疗机构进行专项营养干预；发挥中医药特色优势，开展中医药治未病健康行动；逐步建立满足不同老年人群需求的营养改善措施，提高老年人群的整体健康水平。</w:t>
      </w:r>
    </w:p>
    <w:p>
      <w:pPr>
        <w:pStyle w:val="8"/>
        <w:snapToGrid w:val="0"/>
        <w:spacing w:line="600" w:lineRule="exact"/>
        <w:ind w:firstLine="640" w:firstLineChars="200"/>
        <w:outlineLvl w:val="0"/>
        <w:rPr>
          <w:rFonts w:ascii="Times New Roman" w:hAnsi="Times New Roman" w:eastAsia="仿宋_GB2312" w:cs="Times New Roman"/>
          <w:sz w:val="32"/>
          <w:szCs w:val="32"/>
          <w:shd w:val="clear" w:color="auto" w:fill="FFFFFF"/>
        </w:rPr>
      </w:pPr>
      <w:r>
        <w:rPr>
          <w:rFonts w:hint="eastAsia" w:ascii="楷体_GB2312" w:hAnsi="楷体_GB2312" w:eastAsia="楷体_GB2312" w:cs="楷体_GB2312"/>
          <w:b w:val="0"/>
          <w:bCs w:val="0"/>
          <w:shd w:val="clear" w:color="auto" w:fill="FFFFFF"/>
        </w:rPr>
        <w:t>（五）</w:t>
      </w:r>
      <w:r>
        <w:rPr>
          <w:rFonts w:ascii="楷体_GB2312" w:hAnsi="楷体_GB2312" w:eastAsia="楷体_GB2312" w:cs="楷体_GB2312"/>
          <w:b w:val="0"/>
          <w:bCs w:val="0"/>
          <w:shd w:val="clear" w:color="auto" w:fill="FFFFFF"/>
        </w:rPr>
        <w:t>老年</w:t>
      </w:r>
      <w:r>
        <w:rPr>
          <w:rFonts w:hint="eastAsia" w:ascii="楷体_GB2312" w:hAnsi="楷体_GB2312" w:eastAsia="楷体_GB2312" w:cs="楷体_GB2312"/>
          <w:b w:val="0"/>
          <w:bCs w:val="0"/>
          <w:shd w:val="clear" w:color="auto" w:fill="FFFFFF"/>
          <w:lang w:eastAsia="zh-CN"/>
        </w:rPr>
        <w:t>人</w:t>
      </w:r>
      <w:r>
        <w:rPr>
          <w:rFonts w:ascii="楷体_GB2312" w:hAnsi="楷体_GB2312" w:eastAsia="楷体_GB2312" w:cs="楷体_GB2312"/>
          <w:b w:val="0"/>
          <w:bCs w:val="0"/>
          <w:shd w:val="clear" w:color="auto" w:fill="FFFFFF"/>
        </w:rPr>
        <w:t>健康“智慧助老”行动</w:t>
      </w:r>
      <w:r>
        <w:rPr>
          <w:rFonts w:hint="eastAsia" w:ascii="Times New Roman" w:hAnsi="Times New Roman" w:eastAsia="仿宋_GB2312" w:cs="Times New Roman"/>
          <w:b w:val="0"/>
          <w:bCs w:val="0"/>
          <w:shd w:val="clear" w:color="auto" w:fill="FFFFFF"/>
        </w:rPr>
        <w:t>。</w:t>
      </w:r>
      <w:r>
        <w:rPr>
          <w:rFonts w:hint="eastAsia" w:ascii="仿宋_GB2312" w:hAnsi="仿宋" w:eastAsia="仿宋_GB2312"/>
          <w:sz w:val="32"/>
          <w:szCs w:val="32"/>
        </w:rPr>
        <w:t>各地要以老年人全周期健康管理为切入口，以区域</w:t>
      </w:r>
      <w:r>
        <w:rPr>
          <w:rFonts w:ascii="仿宋_GB2312" w:hAnsi="仿宋" w:eastAsia="仿宋_GB2312"/>
          <w:sz w:val="32"/>
          <w:szCs w:val="32"/>
        </w:rPr>
        <w:t>全民</w:t>
      </w:r>
      <w:r>
        <w:rPr>
          <w:rFonts w:hint="eastAsia" w:ascii="仿宋_GB2312" w:hAnsi="仿宋" w:eastAsia="仿宋_GB2312"/>
          <w:sz w:val="32"/>
          <w:szCs w:val="32"/>
        </w:rPr>
        <w:t>健康信息平台为支撑，集成医疗和公共卫生系统数据，开发建设老年人健康监测、疾病筛查评估、健康管理方面的数字化应用，智慧化助力</w:t>
      </w:r>
      <w:r>
        <w:rPr>
          <w:rFonts w:ascii="Times New Roman" w:hAnsi="Times New Roman" w:eastAsia="仿宋_GB2312" w:cs="Times New Roman"/>
          <w:bCs/>
          <w:color w:val="000000"/>
          <w:sz w:val="32"/>
          <w:szCs w:val="32"/>
          <w:shd w:val="clear" w:color="auto" w:fill="FFFFFF"/>
        </w:rPr>
        <w:t>老年人</w:t>
      </w:r>
      <w:r>
        <w:rPr>
          <w:rFonts w:hint="eastAsia" w:ascii="Times New Roman" w:hAnsi="Times New Roman" w:eastAsia="仿宋_GB2312" w:cs="Times New Roman"/>
          <w:bCs/>
          <w:color w:val="000000"/>
          <w:sz w:val="32"/>
          <w:szCs w:val="32"/>
          <w:shd w:val="clear" w:color="auto" w:fill="FFFFFF"/>
        </w:rPr>
        <w:t>提高</w:t>
      </w:r>
      <w:r>
        <w:rPr>
          <w:rFonts w:ascii="Times New Roman" w:hAnsi="Times New Roman" w:eastAsia="仿宋_GB2312" w:cs="Times New Roman"/>
          <w:bCs/>
          <w:color w:val="000000"/>
          <w:sz w:val="32"/>
          <w:szCs w:val="32"/>
          <w:shd w:val="clear" w:color="auto" w:fill="FFFFFF"/>
        </w:rPr>
        <w:t>健康素养和自我健康管理能力。</w:t>
      </w:r>
      <w:r>
        <w:rPr>
          <w:rFonts w:hint="eastAsia" w:ascii="Times New Roman" w:hAnsi="Times New Roman" w:eastAsia="仿宋_GB2312" w:cs="Times New Roman"/>
          <w:sz w:val="32"/>
          <w:szCs w:val="32"/>
          <w:shd w:val="clear" w:color="auto" w:fill="FFFFFF"/>
        </w:rPr>
        <w:t>省级制定老年数字健康服务相关应用的建设指南、规范、标准，推动市、县（市、区）</w:t>
      </w:r>
      <w:r>
        <w:rPr>
          <w:rFonts w:ascii="Times New Roman" w:hAnsi="Times New Roman" w:eastAsia="仿宋_GB2312" w:cs="Times New Roman"/>
          <w:sz w:val="32"/>
          <w:szCs w:val="32"/>
          <w:shd w:val="clear" w:color="auto" w:fill="FFFFFF"/>
        </w:rPr>
        <w:t>建设开发</w:t>
      </w:r>
      <w:r>
        <w:rPr>
          <w:rFonts w:hint="eastAsia" w:ascii="仿宋_GB2312" w:hAnsi="仿宋_GB2312" w:cs="仿宋_GB2312"/>
          <w:sz w:val="32"/>
          <w:szCs w:val="32"/>
        </w:rPr>
        <w:t>AI</w:t>
      </w:r>
      <w:r>
        <w:rPr>
          <w:rFonts w:hint="eastAsia" w:ascii="仿宋_GB2312" w:hAnsi="仿宋_GB2312" w:eastAsia="仿宋_GB2312" w:cs="仿宋_GB2312"/>
          <w:sz w:val="32"/>
          <w:szCs w:val="32"/>
        </w:rPr>
        <w:t>智能随访、居家远程健康监测等</w:t>
      </w:r>
      <w:r>
        <w:rPr>
          <w:rFonts w:ascii="Times New Roman" w:hAnsi="Times New Roman" w:eastAsia="仿宋_GB2312" w:cs="Times New Roman"/>
          <w:sz w:val="32"/>
          <w:szCs w:val="32"/>
          <w:shd w:val="clear" w:color="auto" w:fill="FFFFFF"/>
        </w:rPr>
        <w:t>老年数字健康服务重大应用</w:t>
      </w:r>
      <w:r>
        <w:rPr>
          <w:rFonts w:hint="eastAsia" w:ascii="Times New Roman" w:hAnsi="Times New Roman" w:eastAsia="仿宋_GB2312" w:cs="Times New Roman"/>
          <w:sz w:val="32"/>
          <w:szCs w:val="32"/>
          <w:shd w:val="clear" w:color="auto" w:fill="FFFFFF"/>
        </w:rPr>
        <w:t>，促进</w:t>
      </w:r>
      <w:r>
        <w:rPr>
          <w:rFonts w:ascii="Times New Roman" w:hAnsi="Times New Roman" w:eastAsia="仿宋_GB2312" w:cs="Times New Roman"/>
          <w:sz w:val="32"/>
          <w:szCs w:val="32"/>
          <w:shd w:val="clear" w:color="auto" w:fill="FFFFFF"/>
        </w:rPr>
        <w:t>老年人电子健康档案开放</w:t>
      </w:r>
      <w:r>
        <w:rPr>
          <w:rFonts w:hint="eastAsia" w:ascii="Times New Roman" w:hAnsi="Times New Roman" w:eastAsia="仿宋_GB2312" w:cs="Times New Roman"/>
          <w:sz w:val="32"/>
          <w:szCs w:val="32"/>
          <w:shd w:val="clear" w:color="auto" w:fill="FFFFFF"/>
        </w:rPr>
        <w:t>共享</w:t>
      </w:r>
      <w:r>
        <w:rPr>
          <w:rFonts w:ascii="Times New Roman" w:hAnsi="Times New Roman" w:eastAsia="仿宋_GB2312" w:cs="Times New Roman"/>
          <w:sz w:val="32"/>
          <w:szCs w:val="32"/>
          <w:shd w:val="clear" w:color="auto" w:fill="FFFFFF"/>
        </w:rPr>
        <w:t>。</w:t>
      </w:r>
    </w:p>
    <w:p>
      <w:pPr>
        <w:pStyle w:val="8"/>
        <w:numPr>
          <w:ilvl w:val="0"/>
          <w:numId w:val="1"/>
        </w:numPr>
        <w:snapToGrid w:val="0"/>
        <w:spacing w:before="0" w:after="0" w:line="600" w:lineRule="exact"/>
        <w:ind w:firstLine="640" w:firstLineChars="200"/>
        <w:outlineLvl w:val="0"/>
        <w:rPr>
          <w:rFonts w:hAnsi="黑体"/>
          <w:shd w:val="clear" w:color="auto" w:fill="FFFFFF"/>
        </w:rPr>
      </w:pPr>
      <w:r>
        <w:rPr>
          <w:rFonts w:hint="eastAsia" w:hAnsi="黑体"/>
          <w:shd w:val="clear" w:color="auto" w:fill="FFFFFF"/>
        </w:rPr>
        <w:t>组织实施</w:t>
      </w:r>
    </w:p>
    <w:p>
      <w:pPr>
        <w:widowControl/>
        <w:spacing w:line="59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（一）试点探索。</w:t>
      </w:r>
      <w:r>
        <w:rPr>
          <w:rFonts w:hint="eastAsia" w:ascii="Times New Roman" w:hAnsi="Times New Roman" w:eastAsia="仿宋_GB2312" w:cs="Times New Roman"/>
          <w:sz w:val="32"/>
          <w:szCs w:val="32"/>
        </w:rPr>
        <w:t>2022年在海盐县先行试点基础上，在温州、湖州、嘉兴全市域和19个县（市、区）（名单见附件1）开展老年人健康评估与功能维护机制试点，</w:t>
      </w:r>
      <w:r>
        <w:rPr>
          <w:rFonts w:hint="eastAsia" w:ascii="Times New Roman" w:hAnsi="Times New Roman" w:eastAsia="仿宋_GB2312" w:cs="Times New Roman"/>
          <w:sz w:val="32"/>
          <w:szCs w:val="32"/>
          <w:highlight w:val="none"/>
        </w:rPr>
        <w:t>围绕老年健康服务行动的专项筛查</w:t>
      </w:r>
      <w:r>
        <w:rPr>
          <w:rFonts w:hint="eastAsia" w:ascii="Times New Roman" w:hAnsi="Times New Roman" w:eastAsia="仿宋_GB2312" w:cs="Times New Roman"/>
          <w:sz w:val="32"/>
          <w:szCs w:val="32"/>
        </w:rPr>
        <w:t>，结合老年人生活自理能力评估，对老年人健康水平进行综合评价，对失能、失智风险和健康状况进行分级，开展老年人分类分级健康管理，加强老年人功能维护。</w:t>
      </w:r>
    </w:p>
    <w:p>
      <w:pPr>
        <w:widowControl/>
        <w:spacing w:line="590" w:lineRule="exact"/>
        <w:ind w:firstLine="640" w:firstLineChars="200"/>
        <w:jc w:val="left"/>
        <w:rPr>
          <w:rFonts w:ascii="仿宋_GB2312" w:hAnsi="宋体" w:eastAsia="仿宋_GB2312" w:cs="仿宋_GB2312"/>
          <w:color w:val="000000"/>
          <w:kern w:val="0"/>
          <w:sz w:val="22"/>
          <w:szCs w:val="22"/>
        </w:rPr>
      </w:pPr>
      <w:r>
        <w:rPr>
          <w:rFonts w:hint="eastAsia" w:ascii="楷体_GB2312" w:hAnsi="楷体_GB2312" w:eastAsia="楷体_GB2312" w:cs="楷体_GB2312"/>
          <w:b w:val="0"/>
          <w:bCs w:val="0"/>
          <w:sz w:val="32"/>
          <w:szCs w:val="32"/>
        </w:rPr>
        <w:t>（二）稳步扩面</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sz w:val="32"/>
          <w:szCs w:val="32"/>
        </w:rPr>
        <w:t>在试点基础上，2023年视情况在所有县（市、区）推进</w:t>
      </w:r>
      <w:r>
        <w:rPr>
          <w:rFonts w:hint="eastAsia" w:ascii="Times New Roman" w:hAnsi="Times New Roman" w:eastAsia="仿宋_GB2312" w:cs="Times New Roman"/>
          <w:sz w:val="32"/>
          <w:szCs w:val="32"/>
          <w:lang w:eastAsia="zh-CN"/>
        </w:rPr>
        <w:t>专项</w:t>
      </w:r>
      <w:r>
        <w:rPr>
          <w:rFonts w:hint="eastAsia" w:ascii="Times New Roman" w:hAnsi="Times New Roman" w:eastAsia="仿宋_GB2312" w:cs="Times New Roman"/>
          <w:sz w:val="32"/>
          <w:szCs w:val="32"/>
        </w:rPr>
        <w:t>行动，每年完成一定数量的老年人专项筛查评估，不断完善工作流程和服务规范，建立起符合浙江实际的老年人健康评估与功能维护机制，结合数字化改革稳步推进老年健康“智慧助老”行动。</w:t>
      </w:r>
    </w:p>
    <w:p>
      <w:pPr>
        <w:pStyle w:val="8"/>
        <w:numPr>
          <w:ilvl w:val="0"/>
          <w:numId w:val="1"/>
        </w:numPr>
        <w:snapToGrid w:val="0"/>
        <w:spacing w:before="0" w:after="0" w:line="600" w:lineRule="exact"/>
        <w:ind w:firstLine="640" w:firstLineChars="200"/>
        <w:outlineLvl w:val="0"/>
        <w:rPr>
          <w:rFonts w:hAnsi="黑体"/>
          <w:shd w:val="clear" w:color="auto" w:fill="FFFFFF"/>
        </w:rPr>
      </w:pPr>
      <w:r>
        <w:rPr>
          <w:rFonts w:hint="eastAsia" w:hAnsi="黑体"/>
          <w:shd w:val="clear" w:color="auto" w:fill="FFFFFF"/>
        </w:rPr>
        <w:t>保障措施</w:t>
      </w:r>
    </w:p>
    <w:p>
      <w:pPr>
        <w:pStyle w:val="8"/>
        <w:snapToGrid w:val="0"/>
        <w:spacing w:before="0" w:after="0" w:line="600" w:lineRule="exact"/>
        <w:ind w:firstLine="640" w:firstLineChars="200"/>
        <w:outlineLvl w:val="0"/>
        <w:rPr>
          <w:rFonts w:ascii="楷体_GB2312" w:hAnsi="楷体_GB2312" w:eastAsia="楷体_GB2312" w:cs="楷体_GB2312"/>
          <w:b/>
          <w:bCs/>
          <w:shd w:val="clear" w:color="auto" w:fill="FFFFFF"/>
        </w:rPr>
      </w:pPr>
      <w:r>
        <w:rPr>
          <w:rFonts w:hint="eastAsia" w:ascii="楷体_GB2312" w:hAnsi="楷体_GB2312" w:eastAsia="楷体_GB2312" w:cs="楷体_GB2312"/>
          <w:b w:val="0"/>
          <w:bCs w:val="0"/>
          <w:shd w:val="clear" w:color="auto" w:fill="FFFFFF"/>
        </w:rPr>
        <w:t>（一）加强组织领导。</w:t>
      </w:r>
      <w:r>
        <w:rPr>
          <w:rFonts w:hint="eastAsia" w:ascii="Times New Roman" w:hAnsi="Times New Roman" w:eastAsia="仿宋_GB2312" w:cs="Times New Roman"/>
        </w:rPr>
        <w:t>老年健康服务专项行动是我省高质量发展建设共同富裕示范区，打造</w:t>
      </w:r>
      <w:r>
        <w:rPr>
          <w:rFonts w:hint="eastAsia" w:ascii="Times New Roman" w:hAnsi="Times New Roman" w:eastAsia="仿宋_GB2312" w:cs="Times New Roman"/>
          <w:lang w:eastAsia="zh-CN"/>
        </w:rPr>
        <w:t>“浙里健康”标志性成果和</w:t>
      </w:r>
      <w:r>
        <w:rPr>
          <w:rFonts w:hint="eastAsia" w:ascii="Times New Roman" w:hAnsi="Times New Roman" w:eastAsia="仿宋_GB2312" w:cs="Times New Roman"/>
        </w:rPr>
        <w:t>“浙里长寿”金名片的突破性抓手之一。各地要充分认识实施老年健康服务专项行动的重要性</w:t>
      </w:r>
      <w:r>
        <w:rPr>
          <w:rFonts w:ascii="Times New Roman" w:hAnsi="Times New Roman" w:eastAsia="仿宋_GB2312" w:cs="Times New Roman"/>
        </w:rPr>
        <w:t>，</w:t>
      </w:r>
      <w:r>
        <w:rPr>
          <w:rFonts w:hint="eastAsia" w:ascii="Times New Roman" w:hAnsi="Times New Roman" w:eastAsia="仿宋_GB2312" w:cs="Times New Roman"/>
        </w:rPr>
        <w:t>切实加强组织领导，将专项行动</w:t>
      </w:r>
      <w:r>
        <w:rPr>
          <w:rFonts w:hint="eastAsia" w:ascii="Times New Roman" w:hAnsi="Times New Roman" w:eastAsia="仿宋_GB2312" w:cs="Times New Roman"/>
          <w:shd w:val="clear" w:color="auto" w:fill="FFFFFF"/>
        </w:rPr>
        <w:t>列入共同富裕示范区建设的重点任务加以推进落实。县级卫生健康行政部门要建立工作专班，集合医疗卫生资源和工作力量，分解落实年度任务目标（见附件2</w:t>
      </w:r>
      <w:r>
        <w:rPr>
          <w:rFonts w:hint="eastAsia" w:ascii="Times New Roman" w:hAnsi="Times New Roman" w:eastAsia="仿宋_GB2312" w:cs="Times New Roman"/>
          <w:shd w:val="clear" w:color="auto" w:fill="FFFFFF"/>
          <w:lang w:eastAsia="zh-CN"/>
        </w:rPr>
        <w:t>、</w:t>
      </w:r>
      <w:r>
        <w:rPr>
          <w:rFonts w:hint="eastAsia" w:ascii="Times New Roman" w:hAnsi="Times New Roman" w:eastAsia="仿宋_GB2312" w:cs="Times New Roman"/>
          <w:shd w:val="clear" w:color="auto" w:fill="FFFFFF"/>
          <w:lang w:val="en-US" w:eastAsia="zh-CN"/>
        </w:rPr>
        <w:t>3</w:t>
      </w:r>
      <w:r>
        <w:rPr>
          <w:rFonts w:hint="eastAsia" w:ascii="Times New Roman" w:hAnsi="Times New Roman" w:eastAsia="仿宋_GB2312" w:cs="Times New Roman"/>
          <w:shd w:val="clear" w:color="auto" w:fill="FFFFFF"/>
        </w:rPr>
        <w:t>）</w:t>
      </w:r>
      <w:r>
        <w:rPr>
          <w:rFonts w:hint="eastAsia" w:ascii="Times New Roman" w:hAnsi="Times New Roman" w:eastAsia="仿宋_GB2312" w:cs="Times New Roman"/>
          <w:shd w:val="clear" w:color="auto" w:fill="FFFFFF"/>
          <w:lang w:eastAsia="zh-CN"/>
        </w:rPr>
        <w:t>；</w:t>
      </w:r>
      <w:r>
        <w:rPr>
          <w:rFonts w:hint="eastAsia" w:ascii="Times New Roman" w:hAnsi="Times New Roman" w:eastAsia="仿宋_GB2312" w:cs="Times New Roman"/>
          <w:highlight w:val="none"/>
          <w:shd w:val="clear" w:color="auto" w:fill="FFFFFF"/>
        </w:rPr>
        <w:t>财政部门</w:t>
      </w:r>
      <w:r>
        <w:rPr>
          <w:rFonts w:hint="eastAsia" w:ascii="Times New Roman" w:hAnsi="Times New Roman" w:eastAsia="仿宋_GB2312" w:cs="Times New Roman"/>
          <w:shd w:val="clear" w:color="auto" w:fill="FFFFFF"/>
        </w:rPr>
        <w:t>要将实施老年健康服务专项行动必要经费列入本级预算，落实经费保障。</w:t>
      </w:r>
    </w:p>
    <w:p>
      <w:pPr>
        <w:pStyle w:val="8"/>
        <w:snapToGrid w:val="0"/>
        <w:spacing w:before="0" w:after="0" w:line="600" w:lineRule="exact"/>
        <w:ind w:firstLine="640" w:firstLineChars="200"/>
        <w:outlineLvl w:val="0"/>
        <w:rPr>
          <w:rFonts w:ascii="Times New Roman" w:hAnsi="Times New Roman" w:eastAsia="仿宋_GB2312" w:cs="Times New Roman"/>
          <w:shd w:val="clear" w:color="auto" w:fill="FFFFFF"/>
        </w:rPr>
      </w:pPr>
      <w:r>
        <w:rPr>
          <w:rFonts w:hint="eastAsia" w:ascii="楷体_GB2312" w:hAnsi="楷体_GB2312" w:eastAsia="楷体_GB2312" w:cs="楷体_GB2312"/>
          <w:b w:val="0"/>
          <w:bCs w:val="0"/>
          <w:shd w:val="clear" w:color="auto" w:fill="FFFFFF"/>
        </w:rPr>
        <w:t>（二）加强技术支撑。</w:t>
      </w:r>
      <w:r>
        <w:rPr>
          <w:rFonts w:hint="eastAsia" w:ascii="Times New Roman" w:hAnsi="Times New Roman" w:eastAsia="仿宋_GB2312" w:cs="Times New Roman"/>
          <w:shd w:val="clear" w:color="auto" w:fill="FFFFFF"/>
        </w:rPr>
        <w:t>各级卫生健康行政部门要组织开展老年健康服务专项行动基层能力培训，针对眼底镜筛查、口腔检查、营养评估、膳食指导、康复指导等业务进行专题培训。县域医共体牵头医院及城市医联体牵头医院要发挥</w:t>
      </w:r>
      <w:r>
        <w:rPr>
          <w:rFonts w:hint="eastAsia" w:ascii="Times New Roman" w:hAnsi="Times New Roman" w:eastAsia="仿宋_GB2312" w:cs="Times New Roman"/>
          <w:shd w:val="clear" w:color="auto" w:fill="FFFFFF"/>
          <w:lang w:eastAsia="zh-CN"/>
        </w:rPr>
        <w:t>技术辐射引领作用；</w:t>
      </w:r>
      <w:r>
        <w:rPr>
          <w:rFonts w:hint="eastAsia" w:ascii="Times New Roman" w:hAnsi="Times New Roman" w:eastAsia="仿宋_GB2312" w:cs="Times New Roman"/>
          <w:shd w:val="clear" w:color="auto" w:fill="FFFFFF"/>
        </w:rPr>
        <w:t>各级疾控机构、精神卫生中心等专业机构要指导和支持基层医疗卫生机构落实各项筛查任务。</w:t>
      </w:r>
    </w:p>
    <w:p>
      <w:pPr>
        <w:pStyle w:val="8"/>
        <w:snapToGrid w:val="0"/>
        <w:spacing w:before="0" w:after="0" w:line="600" w:lineRule="exact"/>
        <w:ind w:firstLine="640" w:firstLineChars="200"/>
        <w:outlineLvl w:val="0"/>
        <w:rPr>
          <w:rFonts w:ascii="Times New Roman" w:hAnsi="Times New Roman" w:eastAsia="仿宋_GB2312" w:cs="Times New Roman"/>
          <w:shd w:val="clear" w:color="auto" w:fill="FFFFFF"/>
        </w:rPr>
      </w:pPr>
      <w:r>
        <w:rPr>
          <w:rFonts w:hint="eastAsia" w:ascii="楷体_GB2312" w:hAnsi="楷体_GB2312" w:eastAsia="楷体_GB2312" w:cs="楷体_GB2312"/>
          <w:b w:val="0"/>
          <w:bCs w:val="0"/>
          <w:shd w:val="clear" w:color="auto" w:fill="FFFFFF"/>
        </w:rPr>
        <w:t>（三）加强信息化建设。</w:t>
      </w:r>
      <w:r>
        <w:rPr>
          <w:rFonts w:hint="eastAsia" w:ascii="Times New Roman" w:hAnsi="Times New Roman" w:eastAsia="仿宋_GB2312" w:cs="Times New Roman"/>
          <w:shd w:val="clear" w:color="auto" w:fill="FFFFFF"/>
        </w:rPr>
        <w:t>各地要升级改造电子健康档案系统，在老年人健康体检表中增加相应的筛查项目字段或评估表单，由基层等承担服务的医疗卫生机构及时将老年健康服务专项行动的筛查评估信息录入系统，按时向省级卫生健康信息平台上传电子健康档案。</w:t>
      </w:r>
    </w:p>
    <w:p>
      <w:pPr>
        <w:widowControl/>
        <w:spacing w:line="590" w:lineRule="exact"/>
        <w:ind w:firstLine="640" w:firstLineChars="200"/>
        <w:jc w:val="left"/>
        <w:rPr>
          <w:rFonts w:hint="eastAsia" w:ascii="Times New Roman" w:hAnsi="Times New Roman" w:eastAsia="仿宋_GB2312" w:cs="Times New Roman"/>
          <w:sz w:val="32"/>
          <w:szCs w:val="32"/>
        </w:rPr>
      </w:pPr>
      <w:r>
        <w:rPr>
          <w:rFonts w:hint="eastAsia" w:ascii="楷体_GB2312" w:hAnsi="楷体_GB2312" w:eastAsia="楷体_GB2312" w:cs="楷体_GB2312"/>
          <w:b w:val="0"/>
          <w:bCs w:val="0"/>
          <w:sz w:val="32"/>
          <w:szCs w:val="32"/>
          <w:shd w:val="clear" w:color="auto" w:fill="FFFFFF"/>
        </w:rPr>
        <w:t>（四)</w:t>
      </w:r>
      <w:r>
        <w:rPr>
          <w:rFonts w:hint="eastAsia" w:ascii="Times New Roman" w:hAnsi="Times New Roman" w:eastAsia="楷体_GB2312" w:cs="Times New Roman"/>
          <w:b w:val="0"/>
          <w:bCs w:val="0"/>
          <w:sz w:val="32"/>
          <w:szCs w:val="32"/>
        </w:rPr>
        <w:t>加强</w:t>
      </w:r>
      <w:r>
        <w:rPr>
          <w:rFonts w:hint="eastAsia" w:ascii="Times New Roman" w:hAnsi="Times New Roman" w:eastAsia="楷体_GB2312" w:cs="Times New Roman"/>
          <w:b w:val="0"/>
          <w:bCs w:val="0"/>
          <w:sz w:val="32"/>
          <w:szCs w:val="32"/>
          <w:lang w:eastAsia="zh-Hans"/>
        </w:rPr>
        <w:t>绩效</w:t>
      </w:r>
      <w:r>
        <w:rPr>
          <w:rFonts w:hint="eastAsia" w:ascii="Times New Roman" w:hAnsi="Times New Roman" w:eastAsia="楷体_GB2312" w:cs="Times New Roman"/>
          <w:b w:val="0"/>
          <w:bCs w:val="0"/>
          <w:sz w:val="32"/>
          <w:szCs w:val="32"/>
        </w:rPr>
        <w:t>评价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省级将老年健康服务专项行动目标指标纳入</w:t>
      </w:r>
      <w:r>
        <w:rPr>
          <w:rFonts w:hint="eastAsia" w:ascii="Times New Roman" w:hAnsi="Times New Roman" w:eastAsia="仿宋_GB2312" w:cs="Times New Roman"/>
          <w:sz w:val="32"/>
          <w:szCs w:val="32"/>
          <w:lang w:eastAsia="zh-CN"/>
        </w:rPr>
        <w:t>“浙里健康”</w:t>
      </w:r>
      <w:r>
        <w:rPr>
          <w:rFonts w:hint="eastAsia" w:ascii="Times New Roman" w:hAnsi="Times New Roman" w:eastAsia="仿宋_GB2312" w:cs="Times New Roman"/>
          <w:sz w:val="32"/>
          <w:szCs w:val="32"/>
        </w:rPr>
        <w:t>“浙里长寿”评价体系，省级卫生健康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财政部门建立督查和绩效评价机制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对县（市、区）老年健康服务专项行动实施情况开展督查和定期绩效评价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对目标任务完成度好、绩效评价优秀的县（市、区）予以激励奖补。</w:t>
      </w:r>
    </w:p>
    <w:p>
      <w:pPr>
        <w:pStyle w:val="4"/>
        <w:ind w:firstLine="640" w:firstLineChars="200"/>
        <w:rPr>
          <w:rFonts w:hint="eastAsia" w:eastAsia="仿宋_GB2312" w:cs="Times New Roman"/>
          <w:sz w:val="32"/>
          <w:szCs w:val="32"/>
          <w:lang w:eastAsia="zh-CN"/>
        </w:rPr>
      </w:pPr>
    </w:p>
    <w:p>
      <w:pPr>
        <w:spacing w:line="560" w:lineRule="exact"/>
        <w:ind w:firstLine="640" w:firstLineChars="200"/>
        <w:jc w:val="left"/>
        <w:rPr>
          <w:rFonts w:hint="eastAsia" w:ascii="仿宋_GB2312" w:hAnsi="仿宋_GB2312" w:eastAsia="仿宋_GB2312" w:cs="仿宋_GB2312"/>
          <w:spacing w:val="-11"/>
          <w:w w:val="90"/>
          <w:sz w:val="32"/>
          <w:szCs w:val="32"/>
        </w:rPr>
      </w:pPr>
      <w:r>
        <w:rPr>
          <w:rFonts w:hint="eastAsia" w:ascii="Times New Roman" w:hAnsi="Times New Roman" w:eastAsia="仿宋_GB2312" w:cs="Times New Roman"/>
          <w:spacing w:val="0"/>
          <w:w w:val="100"/>
          <w:sz w:val="32"/>
          <w:szCs w:val="32"/>
        </w:rPr>
        <w:t>附件</w:t>
      </w:r>
      <w:r>
        <w:rPr>
          <w:rFonts w:hint="eastAsia" w:ascii="Times New Roman" w:hAnsi="Times New Roman" w:eastAsia="仿宋_GB2312" w:cs="Times New Roman"/>
          <w:spacing w:val="0"/>
          <w:w w:val="100"/>
          <w:sz w:val="32"/>
          <w:szCs w:val="32"/>
          <w:lang w:eastAsia="zh-CN"/>
        </w:rPr>
        <w:t>：</w:t>
      </w:r>
      <w:r>
        <w:rPr>
          <w:rFonts w:hint="eastAsia" w:ascii="仿宋_GB2312" w:hAnsi="仿宋_GB2312" w:eastAsia="仿宋_GB2312" w:cs="仿宋_GB2312"/>
          <w:spacing w:val="-11"/>
          <w:w w:val="90"/>
          <w:sz w:val="32"/>
          <w:szCs w:val="32"/>
        </w:rPr>
        <w:t>1</w:t>
      </w:r>
      <w:r>
        <w:rPr>
          <w:rFonts w:hint="eastAsia" w:ascii="仿宋_GB2312" w:hAnsi="仿宋_GB2312" w:eastAsia="仿宋_GB2312" w:cs="仿宋_GB2312"/>
          <w:spacing w:val="-11"/>
          <w:w w:val="90"/>
          <w:sz w:val="32"/>
          <w:szCs w:val="32"/>
          <w:lang w:val="en-US" w:eastAsia="zh-CN"/>
        </w:rPr>
        <w:t>.2022年</w:t>
      </w:r>
      <w:r>
        <w:rPr>
          <w:rFonts w:hint="eastAsia" w:ascii="仿宋_GB2312" w:hAnsi="仿宋_GB2312" w:eastAsia="仿宋_GB2312" w:cs="仿宋_GB2312"/>
          <w:spacing w:val="-11"/>
          <w:w w:val="90"/>
          <w:sz w:val="32"/>
          <w:szCs w:val="32"/>
        </w:rPr>
        <w:t>城乡老年人健康评估与功能维护机制试点名单</w:t>
      </w:r>
    </w:p>
    <w:p>
      <w:pPr>
        <w:numPr>
          <w:ilvl w:val="0"/>
          <w:numId w:val="0"/>
        </w:numPr>
        <w:spacing w:line="560" w:lineRule="exact"/>
        <w:ind w:firstLine="1596" w:firstLineChars="600"/>
        <w:jc w:val="left"/>
        <w:rPr>
          <w:rFonts w:hint="eastAsia" w:ascii="仿宋_GB2312" w:hAnsi="仿宋_GB2312" w:eastAsia="仿宋_GB2312" w:cs="仿宋_GB2312"/>
          <w:spacing w:val="-11"/>
          <w:w w:val="90"/>
          <w:sz w:val="32"/>
          <w:szCs w:val="32"/>
          <w:lang w:eastAsia="zh-CN"/>
        </w:rPr>
      </w:pPr>
      <w:r>
        <w:rPr>
          <w:rFonts w:hint="eastAsia" w:ascii="仿宋_GB2312" w:hAnsi="仿宋_GB2312" w:eastAsia="仿宋_GB2312" w:cs="仿宋_GB2312"/>
          <w:spacing w:val="-11"/>
          <w:w w:val="90"/>
          <w:sz w:val="32"/>
          <w:szCs w:val="32"/>
          <w:lang w:val="en-US" w:eastAsia="zh-CN"/>
        </w:rPr>
        <w:t>2.2022年</w:t>
      </w:r>
      <w:r>
        <w:rPr>
          <w:rFonts w:hint="eastAsia" w:ascii="仿宋_GB2312" w:hAnsi="仿宋_GB2312" w:eastAsia="仿宋_GB2312" w:cs="仿宋_GB2312"/>
          <w:spacing w:val="-11"/>
          <w:w w:val="90"/>
          <w:sz w:val="32"/>
          <w:szCs w:val="32"/>
        </w:rPr>
        <w:t>老年人健康</w:t>
      </w:r>
      <w:r>
        <w:rPr>
          <w:rFonts w:hint="eastAsia" w:ascii="仿宋_GB2312" w:hAnsi="仿宋_GB2312" w:eastAsia="仿宋_GB2312" w:cs="仿宋_GB2312"/>
          <w:spacing w:val="-11"/>
          <w:w w:val="90"/>
          <w:sz w:val="32"/>
          <w:szCs w:val="32"/>
          <w:lang w:eastAsia="zh-CN"/>
        </w:rPr>
        <w:t>服务专项筛查</w:t>
      </w:r>
      <w:r>
        <w:rPr>
          <w:rFonts w:hint="eastAsia" w:ascii="仿宋_GB2312" w:hAnsi="仿宋_GB2312" w:eastAsia="仿宋_GB2312" w:cs="仿宋_GB2312"/>
          <w:spacing w:val="-11"/>
          <w:w w:val="90"/>
          <w:sz w:val="32"/>
          <w:szCs w:val="32"/>
        </w:rPr>
        <w:t>评估</w:t>
      </w:r>
      <w:r>
        <w:rPr>
          <w:rFonts w:hint="eastAsia" w:ascii="仿宋_GB2312" w:hAnsi="仿宋_GB2312" w:eastAsia="仿宋_GB2312" w:cs="仿宋_GB2312"/>
          <w:spacing w:val="-11"/>
          <w:w w:val="90"/>
          <w:sz w:val="32"/>
          <w:szCs w:val="32"/>
          <w:lang w:eastAsia="zh-CN"/>
        </w:rPr>
        <w:t>数量表</w:t>
      </w:r>
    </w:p>
    <w:p>
      <w:pPr>
        <w:numPr>
          <w:ilvl w:val="0"/>
          <w:numId w:val="0"/>
        </w:numPr>
        <w:spacing w:line="560" w:lineRule="exact"/>
        <w:ind w:firstLine="1596" w:firstLineChars="600"/>
        <w:jc w:val="left"/>
        <w:rPr>
          <w:rFonts w:hint="eastAsia" w:ascii="仿宋_GB2312" w:hAnsi="仿宋_GB2312" w:eastAsia="仿宋_GB2312" w:cs="仿宋_GB2312"/>
          <w:spacing w:val="-11"/>
          <w:w w:val="90"/>
          <w:sz w:val="32"/>
          <w:szCs w:val="32"/>
          <w:lang w:val="en-US" w:eastAsia="zh-CN"/>
        </w:rPr>
      </w:pPr>
      <w:r>
        <w:rPr>
          <w:rFonts w:hint="eastAsia" w:ascii="仿宋_GB2312" w:hAnsi="仿宋_GB2312" w:eastAsia="仿宋_GB2312" w:cs="仿宋_GB2312"/>
          <w:spacing w:val="-11"/>
          <w:w w:val="90"/>
          <w:sz w:val="32"/>
          <w:szCs w:val="32"/>
          <w:lang w:val="en" w:eastAsia="zh-CN"/>
        </w:rPr>
        <w:t>3.</w:t>
      </w:r>
      <w:r>
        <w:rPr>
          <w:rFonts w:hint="eastAsia" w:ascii="仿宋_GB2312" w:hAnsi="仿宋_GB2312" w:eastAsia="仿宋_GB2312" w:cs="仿宋_GB2312"/>
          <w:spacing w:val="-11"/>
          <w:w w:val="90"/>
          <w:sz w:val="32"/>
          <w:szCs w:val="32"/>
          <w:lang w:val="en-US" w:eastAsia="zh-CN"/>
        </w:rPr>
        <w:t>2022年</w:t>
      </w:r>
      <w:r>
        <w:rPr>
          <w:rFonts w:hint="eastAsia" w:ascii="仿宋_GB2312" w:hAnsi="仿宋_GB2312" w:eastAsia="仿宋_GB2312" w:cs="仿宋_GB2312"/>
          <w:spacing w:val="-11"/>
          <w:w w:val="90"/>
          <w:sz w:val="32"/>
          <w:szCs w:val="32"/>
        </w:rPr>
        <w:t>老年糖尿病患者眼底筛查数量</w:t>
      </w:r>
      <w:r>
        <w:rPr>
          <w:rFonts w:hint="eastAsia" w:ascii="仿宋_GB2312" w:hAnsi="仿宋_GB2312" w:eastAsia="仿宋_GB2312" w:cs="仿宋_GB2312"/>
          <w:spacing w:val="-11"/>
          <w:w w:val="90"/>
          <w:sz w:val="32"/>
          <w:szCs w:val="32"/>
          <w:lang w:eastAsia="zh-CN"/>
        </w:rPr>
        <w:t>表</w:t>
      </w:r>
    </w:p>
    <w:p>
      <w:pPr>
        <w:pStyle w:val="4"/>
        <w:ind w:firstLine="210"/>
        <w:rPr>
          <w:spacing w:val="-11"/>
        </w:rPr>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spacing w:line="560" w:lineRule="exact"/>
        <w:rPr>
          <w:rFonts w:ascii="楷体_GB2312" w:hAnsi="楷体_GB2312" w:eastAsia="楷体_GB2312" w:cs="楷体_GB2312"/>
          <w:spacing w:val="-1"/>
          <w:sz w:val="32"/>
          <w:szCs w:val="32"/>
        </w:rPr>
      </w:pPr>
    </w:p>
    <w:p>
      <w:pPr>
        <w:widowControl/>
        <w:spacing w:line="240" w:lineRule="auto"/>
        <w:jc w:val="left"/>
        <w:rPr>
          <w:rFonts w:ascii="楷体_GB2312" w:hAnsi="楷体_GB2312" w:eastAsia="楷体_GB2312" w:cs="楷体_GB2312"/>
          <w:spacing w:val="-1"/>
          <w:sz w:val="32"/>
          <w:szCs w:val="32"/>
        </w:rPr>
      </w:pPr>
    </w:p>
    <w:p>
      <w:pPr>
        <w:spacing w:line="560" w:lineRule="exact"/>
        <w:jc w:val="left"/>
        <w:rPr>
          <w:rFonts w:hint="eastAsia" w:ascii="黑体" w:hAnsi="黑体" w:eastAsia="黑体" w:cs="黑体"/>
          <w:spacing w:val="-1"/>
          <w:sz w:val="32"/>
          <w:szCs w:val="32"/>
        </w:rPr>
      </w:pPr>
      <w:r>
        <w:rPr>
          <w:rFonts w:hint="eastAsia" w:ascii="楷体_GB2312" w:hAnsi="楷体_GB2312" w:eastAsia="楷体_GB2312" w:cs="楷体_GB2312"/>
          <w:spacing w:val="-1"/>
          <w:sz w:val="32"/>
          <w:szCs w:val="32"/>
        </w:rPr>
        <w:br w:type="page"/>
      </w:r>
      <w:r>
        <w:rPr>
          <w:rFonts w:hint="eastAsia" w:ascii="黑体" w:hAnsi="黑体" w:eastAsia="黑体" w:cs="黑体"/>
          <w:spacing w:val="-1"/>
          <w:sz w:val="32"/>
          <w:szCs w:val="32"/>
        </w:rPr>
        <w:t>附件1</w:t>
      </w:r>
    </w:p>
    <w:p>
      <w:pPr>
        <w:spacing w:line="560" w:lineRule="exact"/>
        <w:ind w:firstLine="318" w:firstLineChars="100"/>
        <w:jc w:val="both"/>
        <w:rPr>
          <w:rFonts w:hint="eastAsia" w:ascii="黑体" w:hAnsi="黑体" w:eastAsia="黑体" w:cs="Times New Roman"/>
          <w:spacing w:val="-1"/>
          <w:sz w:val="32"/>
          <w:szCs w:val="32"/>
        </w:rPr>
      </w:pPr>
      <w:r>
        <w:rPr>
          <w:rFonts w:hint="eastAsia" w:ascii="黑体" w:hAnsi="黑体" w:eastAsia="黑体" w:cs="Times New Roman"/>
          <w:spacing w:val="-1"/>
          <w:sz w:val="32"/>
          <w:szCs w:val="32"/>
          <w:lang w:val="en-US" w:eastAsia="zh-CN"/>
        </w:rPr>
        <w:t>2022年</w:t>
      </w:r>
      <w:r>
        <w:rPr>
          <w:rFonts w:hint="eastAsia" w:ascii="黑体" w:hAnsi="黑体" w:eastAsia="黑体" w:cs="Times New Roman"/>
          <w:spacing w:val="-1"/>
          <w:sz w:val="32"/>
          <w:szCs w:val="32"/>
        </w:rPr>
        <w:t>城乡老年人健康评估与功能维护机制试点名单</w:t>
      </w:r>
    </w:p>
    <w:tbl>
      <w:tblPr>
        <w:tblStyle w:val="5"/>
        <w:tblpPr w:leftFromText="180" w:rightFromText="180" w:vertAnchor="text" w:horzAnchor="page" w:tblpX="1607" w:tblpY="8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spacing w:line="560" w:lineRule="exact"/>
              <w:jc w:val="center"/>
              <w:rPr>
                <w:rFonts w:hint="eastAsia" w:ascii="黑体" w:hAnsi="黑体" w:eastAsia="黑体" w:cs="黑体"/>
                <w:spacing w:val="-1"/>
                <w:sz w:val="32"/>
                <w:szCs w:val="32"/>
              </w:rPr>
            </w:pPr>
            <w:r>
              <w:rPr>
                <w:rFonts w:hint="eastAsia" w:ascii="黑体" w:hAnsi="黑体" w:eastAsia="黑体" w:cs="黑体"/>
                <w:spacing w:val="-1"/>
                <w:sz w:val="32"/>
                <w:szCs w:val="32"/>
                <w:lang w:eastAsia="zh-CN"/>
              </w:rPr>
              <w:t>设区市</w:t>
            </w:r>
          </w:p>
        </w:tc>
        <w:tc>
          <w:tcPr>
            <w:tcW w:w="6282" w:type="dxa"/>
            <w:noWrap w:val="0"/>
            <w:vAlign w:val="center"/>
          </w:tcPr>
          <w:p>
            <w:pPr>
              <w:spacing w:line="560" w:lineRule="exact"/>
              <w:jc w:val="center"/>
              <w:rPr>
                <w:rFonts w:hint="eastAsia" w:ascii="黑体" w:hAnsi="黑体" w:eastAsia="黑体" w:cs="黑体"/>
                <w:spacing w:val="-1"/>
                <w:sz w:val="32"/>
                <w:szCs w:val="32"/>
              </w:rPr>
            </w:pPr>
            <w:r>
              <w:rPr>
                <w:rFonts w:hint="eastAsia" w:ascii="黑体" w:hAnsi="黑体" w:eastAsia="黑体" w:cs="黑体"/>
                <w:spacing w:val="-1"/>
                <w:sz w:val="32"/>
                <w:szCs w:val="32"/>
              </w:rPr>
              <w:t>试点县（市、区）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杭州市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上城区、拱墅区、西湖区、滨江区、余杭区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宁波市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鄞州区、象山县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温州市</w:t>
            </w:r>
          </w:p>
        </w:tc>
        <w:tc>
          <w:tcPr>
            <w:tcW w:w="6282" w:type="dxa"/>
            <w:noWrap w:val="0"/>
            <w:vAlign w:val="center"/>
          </w:tcPr>
          <w:p>
            <w:pPr>
              <w:spacing w:line="50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全市域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湖州市</w:t>
            </w:r>
          </w:p>
        </w:tc>
        <w:tc>
          <w:tcPr>
            <w:tcW w:w="6282" w:type="dxa"/>
            <w:noWrap w:val="0"/>
            <w:vAlign w:val="center"/>
          </w:tcPr>
          <w:p>
            <w:pPr>
              <w:spacing w:line="50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全市域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嘉兴市</w:t>
            </w:r>
          </w:p>
        </w:tc>
        <w:tc>
          <w:tcPr>
            <w:tcW w:w="6282" w:type="dxa"/>
            <w:noWrap w:val="0"/>
            <w:vAlign w:val="center"/>
          </w:tcPr>
          <w:p>
            <w:pPr>
              <w:spacing w:line="500" w:lineRule="exact"/>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全市域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绍兴市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越城区、新昌县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金华市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金东区、义乌市、武义县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衢州市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开化县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舟山市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岱山县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台州市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路桥区、玉环市、温岭市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240"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丽水市</w:t>
            </w:r>
          </w:p>
        </w:tc>
        <w:tc>
          <w:tcPr>
            <w:tcW w:w="6282" w:type="dxa"/>
            <w:noWrap w:val="0"/>
            <w:vAlign w:val="center"/>
          </w:tcPr>
          <w:p>
            <w:pPr>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莲都区</w:t>
            </w:r>
          </w:p>
        </w:tc>
      </w:tr>
    </w:tbl>
    <w:p>
      <w:pPr>
        <w:spacing w:line="560" w:lineRule="exact"/>
        <w:ind w:firstLine="636" w:firstLineChars="200"/>
        <w:jc w:val="center"/>
        <w:rPr>
          <w:rFonts w:hint="eastAsia" w:ascii="黑体" w:hAnsi="黑体" w:eastAsia="黑体"/>
          <w:spacing w:val="-1"/>
          <w:sz w:val="32"/>
          <w:szCs w:val="32"/>
          <w:lang w:val="en-US" w:eastAsia="zh-CN"/>
        </w:rPr>
      </w:pPr>
    </w:p>
    <w:p>
      <w:pPr>
        <w:spacing w:line="560" w:lineRule="exact"/>
        <w:rPr>
          <w:rFonts w:hint="eastAsia" w:ascii="楷体_GB2312" w:hAnsi="楷体_GB2312" w:eastAsia="楷体_GB2312" w:cs="楷体_GB2312"/>
          <w:spacing w:val="-1"/>
          <w:sz w:val="32"/>
          <w:szCs w:val="32"/>
        </w:rPr>
      </w:pPr>
    </w:p>
    <w:p>
      <w:pPr>
        <w:pStyle w:val="2"/>
        <w:rPr>
          <w:rFonts w:hint="eastAsia"/>
        </w:rPr>
      </w:pPr>
    </w:p>
    <w:p>
      <w:pPr>
        <w:spacing w:line="560" w:lineRule="exact"/>
        <w:rPr>
          <w:rFonts w:hint="eastAsia" w:ascii="黑体" w:hAnsi="黑体" w:eastAsia="黑体"/>
          <w:spacing w:val="-1"/>
          <w:sz w:val="32"/>
          <w:szCs w:val="32"/>
        </w:rPr>
      </w:pPr>
      <w:r>
        <w:rPr>
          <w:rFonts w:hint="eastAsia" w:ascii="楷体_GB2312" w:hAnsi="楷体_GB2312" w:eastAsia="楷体_GB2312" w:cs="楷体_GB2312"/>
          <w:spacing w:val="-1"/>
          <w:sz w:val="32"/>
          <w:szCs w:val="32"/>
        </w:rPr>
        <w:t>附件</w:t>
      </w:r>
      <w:r>
        <w:rPr>
          <w:rFonts w:hint="eastAsia" w:ascii="楷体_GB2312" w:hAnsi="楷体_GB2312" w:eastAsia="楷体_GB2312" w:cs="楷体_GB2312"/>
          <w:spacing w:val="-1"/>
          <w:sz w:val="32"/>
          <w:szCs w:val="32"/>
          <w:lang w:val="en-US" w:eastAsia="zh-CN"/>
        </w:rPr>
        <w:t>2</w:t>
      </w:r>
      <w:r>
        <w:rPr>
          <w:rFonts w:hint="eastAsia" w:ascii="楷体_GB2312" w:hAnsi="楷体_GB2312" w:eastAsia="楷体_GB2312" w:cs="楷体_GB2312"/>
          <w:spacing w:val="-1"/>
          <w:sz w:val="32"/>
          <w:szCs w:val="32"/>
        </w:rPr>
        <w:t>：</w:t>
      </w:r>
    </w:p>
    <w:tbl>
      <w:tblPr>
        <w:tblStyle w:val="6"/>
        <w:tblpPr w:leftFromText="180" w:rightFromText="180" w:vertAnchor="text" w:horzAnchor="page" w:tblpX="1727" w:tblpY="924"/>
        <w:tblOverlap w:val="never"/>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901"/>
        <w:gridCol w:w="199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试点县（市、区）</w:t>
            </w:r>
          </w:p>
        </w:tc>
        <w:tc>
          <w:tcPr>
            <w:tcW w:w="1901" w:type="dxa"/>
            <w:noWrap w:val="0"/>
            <w:vAlign w:val="bottom"/>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数量</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试点县（市、区）</w:t>
            </w:r>
          </w:p>
        </w:tc>
        <w:tc>
          <w:tcPr>
            <w:tcW w:w="2366" w:type="dxa"/>
            <w:noWrap w:val="0"/>
            <w:vAlign w:val="bottom"/>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杭州市上城区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18800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德清县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杭州市拱墅区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18000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长兴县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杭州市西湖区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13200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安吉县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杭州市滨江区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4500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嘉兴市南湖区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杭州市余杭区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12900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嘉兴市秀洲区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宁波市鄞州区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18500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嘉善县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宁波市象山县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10600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平湖市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温州市鹿城区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12200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海盐县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温州市龙湾区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3900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海宁市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温州市瓯海区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8100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桐乡市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温州市洞头区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2000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绍兴市越城区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乐清市</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22000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绍兴市新昌县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瑞安市</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22800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金华市金东区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永嘉县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13100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义乌市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文成县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5100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武义县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平阳县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13200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开化县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泰顺县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4600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岱山县</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苍南县</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13100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台州市路桥区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温州市龙港市</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6000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温岭市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嘉兴市吴兴区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14700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玉环市</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湖州市南浔区</w:t>
            </w:r>
          </w:p>
        </w:tc>
        <w:tc>
          <w:tcPr>
            <w:tcW w:w="1901"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14700</w:t>
            </w:r>
          </w:p>
        </w:tc>
        <w:tc>
          <w:tcPr>
            <w:tcW w:w="199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丽水市莲都区</w:t>
            </w:r>
          </w:p>
        </w:tc>
        <w:tc>
          <w:tcPr>
            <w:tcW w:w="2366" w:type="dxa"/>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2587"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合计</w:t>
            </w:r>
          </w:p>
        </w:tc>
        <w:tc>
          <w:tcPr>
            <w:tcW w:w="6266" w:type="dxa"/>
            <w:gridSpan w:val="3"/>
            <w:noWrap w:val="0"/>
            <w:vAlign w:val="top"/>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500000</w:t>
            </w:r>
          </w:p>
        </w:tc>
      </w:tr>
    </w:tbl>
    <w:p>
      <w:pPr>
        <w:spacing w:line="560" w:lineRule="exact"/>
        <w:ind w:firstLine="636" w:firstLineChars="200"/>
        <w:jc w:val="center"/>
        <w:rPr>
          <w:rFonts w:hint="default" w:ascii="黑体" w:hAnsi="黑体" w:eastAsia="黑体"/>
          <w:color w:val="auto"/>
          <w:spacing w:val="-3"/>
          <w:sz w:val="44"/>
          <w:szCs w:val="44"/>
          <w:highlight w:val="yellow"/>
          <w:lang w:val="en-US" w:eastAsia="zh-CN"/>
        </w:rPr>
      </w:pPr>
      <w:r>
        <w:rPr>
          <w:rFonts w:hint="eastAsia" w:ascii="黑体" w:hAnsi="黑体" w:eastAsia="黑体"/>
          <w:spacing w:val="-1"/>
          <w:sz w:val="32"/>
          <w:szCs w:val="32"/>
          <w:lang w:val="en-US" w:eastAsia="zh-CN"/>
        </w:rPr>
        <w:t>2022年</w:t>
      </w:r>
      <w:r>
        <w:rPr>
          <w:rFonts w:hint="eastAsia" w:ascii="黑体" w:hAnsi="黑体" w:eastAsia="黑体"/>
          <w:spacing w:val="-1"/>
          <w:sz w:val="32"/>
          <w:szCs w:val="32"/>
        </w:rPr>
        <w:t>城乡老年人健康评估</w:t>
      </w:r>
      <w:r>
        <w:rPr>
          <w:rFonts w:hint="eastAsia" w:ascii="黑体" w:hAnsi="黑体" w:eastAsia="黑体"/>
          <w:spacing w:val="-1"/>
          <w:sz w:val="32"/>
          <w:szCs w:val="32"/>
          <w:lang w:val="en-US" w:eastAsia="zh-CN"/>
        </w:rPr>
        <w:t>与功能维护</w:t>
      </w:r>
      <w:r>
        <w:rPr>
          <w:rFonts w:hint="eastAsia" w:ascii="黑体" w:hAnsi="黑体" w:eastAsia="黑体"/>
          <w:spacing w:val="-1"/>
          <w:sz w:val="32"/>
          <w:szCs w:val="32"/>
        </w:rPr>
        <w:t>数量</w:t>
      </w:r>
      <w:r>
        <w:rPr>
          <w:rFonts w:hint="eastAsia" w:ascii="黑体" w:hAnsi="黑体" w:eastAsia="黑体"/>
          <w:spacing w:val="-1"/>
          <w:sz w:val="32"/>
          <w:szCs w:val="32"/>
          <w:lang w:eastAsia="zh-CN"/>
        </w:rPr>
        <w:t>分配表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_GB2312" w:hAnsi="楷体_GB2312" w:eastAsia="楷体_GB2312" w:cs="楷体_GB2312"/>
          <w:spacing w:val="-1"/>
          <w:sz w:val="32"/>
          <w:szCs w:val="32"/>
        </w:rPr>
      </w:pPr>
    </w:p>
    <w:p>
      <w:pPr>
        <w:spacing w:line="560" w:lineRule="exact"/>
        <w:rPr>
          <w:rFonts w:hint="eastAsia" w:ascii="楷体_GB2312" w:hAnsi="楷体_GB2312" w:eastAsia="楷体_GB2312" w:cs="楷体_GB2312"/>
          <w:spacing w:val="-1"/>
          <w:sz w:val="32"/>
          <w:szCs w:val="32"/>
        </w:rPr>
      </w:pPr>
    </w:p>
    <w:p>
      <w:pPr>
        <w:spacing w:line="560" w:lineRule="exact"/>
        <w:rPr>
          <w:rFonts w:hint="eastAsia" w:ascii="楷体_GB2312" w:hAnsi="楷体_GB2312" w:eastAsia="楷体_GB2312" w:cs="楷体_GB2312"/>
          <w:spacing w:val="-1"/>
          <w:sz w:val="32"/>
          <w:szCs w:val="32"/>
        </w:rPr>
      </w:pPr>
    </w:p>
    <w:p>
      <w:pPr>
        <w:spacing w:line="560" w:lineRule="exact"/>
        <w:rPr>
          <w:rFonts w:hint="eastAsia"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附件</w:t>
      </w:r>
      <w:r>
        <w:rPr>
          <w:rFonts w:hint="eastAsia" w:ascii="楷体_GB2312" w:hAnsi="楷体_GB2312" w:eastAsia="楷体_GB2312" w:cs="楷体_GB2312"/>
          <w:spacing w:val="-1"/>
          <w:sz w:val="32"/>
          <w:szCs w:val="32"/>
          <w:lang w:val="en-US" w:eastAsia="zh-CN"/>
        </w:rPr>
        <w:t>3</w:t>
      </w:r>
      <w:r>
        <w:rPr>
          <w:rFonts w:hint="eastAsia" w:ascii="楷体_GB2312" w:hAnsi="楷体_GB2312" w:eastAsia="楷体_GB2312" w:cs="楷体_GB2312"/>
          <w:spacing w:val="-1"/>
          <w:sz w:val="32"/>
          <w:szCs w:val="32"/>
        </w:rPr>
        <w:t>：</w:t>
      </w:r>
    </w:p>
    <w:tbl>
      <w:tblPr>
        <w:tblStyle w:val="5"/>
        <w:tblpPr w:leftFromText="180" w:rightFromText="180" w:vertAnchor="text" w:horzAnchor="page" w:tblpX="2087" w:tblpY="98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地 市</w:t>
            </w:r>
          </w:p>
        </w:tc>
        <w:tc>
          <w:tcPr>
            <w:tcW w:w="5033"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杭州市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宁波市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温州市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湖州市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嘉兴市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绍兴市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金华市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衢州市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舟山市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台州市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丽水市</w:t>
            </w:r>
          </w:p>
        </w:tc>
        <w:tc>
          <w:tcPr>
            <w:tcW w:w="5033" w:type="dxa"/>
            <w:noWrap w:val="0"/>
            <w:vAlign w:val="top"/>
          </w:tcPr>
          <w:p>
            <w:pPr>
              <w:spacing w:beforeLines="0" w:afterLines="0"/>
              <w:jc w:val="center"/>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olor w:val="000000"/>
                <w:sz w:val="28"/>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trPr>
        <w:tc>
          <w:tcPr>
            <w:tcW w:w="3489" w:type="dxa"/>
            <w:noWrap w:val="0"/>
            <w:vAlign w:val="center"/>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合计</w:t>
            </w:r>
          </w:p>
        </w:tc>
        <w:tc>
          <w:tcPr>
            <w:tcW w:w="5033" w:type="dxa"/>
            <w:noWrap w:val="0"/>
            <w:vAlign w:val="center"/>
          </w:tcPr>
          <w:p>
            <w:pPr>
              <w:jc w:val="center"/>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50000</w:t>
            </w:r>
          </w:p>
        </w:tc>
      </w:tr>
    </w:tbl>
    <w:p>
      <w:pPr>
        <w:spacing w:line="560" w:lineRule="exact"/>
        <w:ind w:firstLine="636" w:firstLineChars="200"/>
        <w:jc w:val="center"/>
        <w:rPr>
          <w:rFonts w:hint="eastAsia" w:ascii="黑体" w:hAnsi="黑体" w:eastAsia="黑体"/>
          <w:spacing w:val="-1"/>
          <w:sz w:val="32"/>
          <w:szCs w:val="32"/>
          <w:lang w:eastAsia="zh-CN"/>
        </w:rPr>
      </w:pPr>
      <w:r>
        <w:rPr>
          <w:rFonts w:hint="eastAsia" w:ascii="黑体" w:hAnsi="黑体" w:eastAsia="黑体"/>
          <w:spacing w:val="-1"/>
          <w:sz w:val="32"/>
          <w:szCs w:val="32"/>
          <w:lang w:val="en-US" w:eastAsia="zh-CN"/>
        </w:rPr>
        <w:t>2022年</w:t>
      </w:r>
      <w:r>
        <w:rPr>
          <w:rFonts w:hint="eastAsia" w:ascii="黑体" w:hAnsi="黑体" w:eastAsia="黑体"/>
          <w:spacing w:val="-1"/>
          <w:sz w:val="32"/>
          <w:szCs w:val="32"/>
        </w:rPr>
        <w:t>老年糖尿病患者眼底筛查数量</w:t>
      </w:r>
      <w:r>
        <w:rPr>
          <w:rFonts w:hint="eastAsia" w:ascii="黑体" w:hAnsi="黑体" w:eastAsia="黑体"/>
          <w:spacing w:val="-1"/>
          <w:sz w:val="32"/>
          <w:szCs w:val="32"/>
          <w:lang w:eastAsia="zh-CN"/>
        </w:rPr>
        <w:t>分配表</w:t>
      </w:r>
    </w:p>
    <w:p>
      <w:pPr>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76FF3"/>
    <w:multiLevelType w:val="singleLevel"/>
    <w:tmpl w:val="D7576F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A0A9B"/>
    <w:rsid w:val="142A0A9B"/>
    <w:rsid w:val="3342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eastAsia="方正小标宋简体" w:cs="宋体"/>
      <w:kern w:val="36"/>
      <w:sz w:val="36"/>
      <w:szCs w:val="36"/>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8.22 黑体标题1"/>
    <w:basedOn w:val="1"/>
    <w:qFormat/>
    <w:uiPriority w:val="0"/>
    <w:pPr>
      <w:spacing w:before="120" w:after="120" w:line="500" w:lineRule="exact"/>
      <w:ind w:firstLine="196" w:firstLineChars="196"/>
    </w:pPr>
    <w:rPr>
      <w:rFonts w:ascii="黑体" w:hAnsi="仿宋" w:eastAsia="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2022-03-25T04:12:00Z</dcterms:created>
  <dc:creator>lenovo</dc:creator>
  <cp:lastModifiedBy>9003</cp:lastModifiedBy>
  <dcterms:modified xsi:type="dcterms:W3CDTF">2022-03-25T06:51:18Z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