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32"/>
          <w:szCs w:val="32"/>
        </w:rPr>
      </w:pPr>
      <w:bookmarkStart w:id="0" w:name="_GoBack"/>
      <w:bookmarkEnd w:id="0"/>
      <w:r>
        <w:rPr>
          <w:rFonts w:hint="eastAsia" w:ascii="方正小标宋_GBK" w:hAnsi="方正小标宋_GBK" w:eastAsia="方正小标宋_GBK" w:cs="方正小标宋_GBK"/>
          <w:sz w:val="32"/>
          <w:szCs w:val="32"/>
        </w:rPr>
        <w:t>附件2         2022年研究型病房动态评估项目评分标准</w:t>
      </w:r>
    </w:p>
    <w:tbl>
      <w:tblPr>
        <w:tblStyle w:val="11"/>
        <w:tblpPr w:leftFromText="180" w:rightFromText="180" w:vertAnchor="page" w:horzAnchor="page" w:tblpXSpec="center" w:tblpY="3200"/>
        <w:tblOverlap w:val="never"/>
        <w:tblW w:w="10093" w:type="dxa"/>
        <w:jc w:val="center"/>
        <w:tblLayout w:type="fixed"/>
        <w:tblCellMar>
          <w:top w:w="0" w:type="dxa"/>
          <w:left w:w="108" w:type="dxa"/>
          <w:bottom w:w="0" w:type="dxa"/>
          <w:right w:w="108" w:type="dxa"/>
        </w:tblCellMar>
      </w:tblPr>
      <w:tblGrid>
        <w:gridCol w:w="1188"/>
        <w:gridCol w:w="2126"/>
        <w:gridCol w:w="831"/>
        <w:gridCol w:w="5948"/>
      </w:tblGrid>
      <w:tr>
        <w:tblPrEx>
          <w:tblCellMar>
            <w:top w:w="0" w:type="dxa"/>
            <w:left w:w="108" w:type="dxa"/>
            <w:bottom w:w="0" w:type="dxa"/>
            <w:right w:w="108" w:type="dxa"/>
          </w:tblCellMar>
        </w:tblPrEx>
        <w:trPr>
          <w:jc w:val="center"/>
        </w:trPr>
        <w:tc>
          <w:tcPr>
            <w:tcW w:w="1188" w:type="dxa"/>
            <w:tcBorders>
              <w:top w:val="single" w:color="000000" w:sz="8" w:space="0"/>
              <w:left w:val="single" w:color="000000" w:sz="8" w:space="0"/>
              <w:bottom w:val="single" w:color="000000" w:sz="4" w:space="0"/>
              <w:right w:val="single" w:color="000000" w:sz="8" w:space="0"/>
            </w:tcBorders>
            <w:shd w:val="clear" w:color="auto" w:fill="FFFFFF"/>
            <w:vAlign w:val="center"/>
          </w:tcPr>
          <w:p>
            <w:pPr>
              <w:spacing w:before="100" w:after="100"/>
              <w:jc w:val="both"/>
              <w:rPr>
                <w:rFonts w:ascii="宋体" w:hAnsi="宋体" w:eastAsia="宋体" w:cs="宋体"/>
                <w:b/>
                <w:szCs w:val="21"/>
              </w:rPr>
            </w:pPr>
            <w:r>
              <w:rPr>
                <w:rFonts w:hint="eastAsia" w:ascii="宋体" w:hAnsi="宋体" w:eastAsia="宋体"/>
                <w:b/>
                <w:szCs w:val="21"/>
              </w:rPr>
              <w:t>内容</w:t>
            </w:r>
          </w:p>
        </w:tc>
        <w:tc>
          <w:tcPr>
            <w:tcW w:w="2126" w:type="dxa"/>
            <w:tcBorders>
              <w:top w:val="single" w:color="000000" w:sz="8" w:space="0"/>
              <w:left w:val="nil"/>
              <w:bottom w:val="single" w:color="000000" w:sz="4" w:space="0"/>
              <w:right w:val="single" w:color="000000" w:sz="8" w:space="0"/>
            </w:tcBorders>
            <w:shd w:val="clear" w:color="auto" w:fill="FFFFFF"/>
            <w:vAlign w:val="center"/>
          </w:tcPr>
          <w:p>
            <w:pPr>
              <w:spacing w:before="100" w:after="100"/>
              <w:jc w:val="center"/>
              <w:rPr>
                <w:rFonts w:ascii="宋体" w:hAnsi="宋体" w:eastAsia="宋体" w:cs="宋体"/>
                <w:b/>
                <w:szCs w:val="21"/>
              </w:rPr>
            </w:pPr>
            <w:r>
              <w:rPr>
                <w:rFonts w:hint="eastAsia" w:ascii="宋体" w:hAnsi="宋体" w:eastAsia="宋体"/>
                <w:b/>
                <w:szCs w:val="21"/>
              </w:rPr>
              <w:t>评分内容</w:t>
            </w:r>
          </w:p>
        </w:tc>
        <w:tc>
          <w:tcPr>
            <w:tcW w:w="831" w:type="dxa"/>
            <w:tcBorders>
              <w:top w:val="single" w:color="000000" w:sz="8" w:space="0"/>
              <w:left w:val="nil"/>
              <w:bottom w:val="single" w:color="000000" w:sz="4" w:space="0"/>
              <w:right w:val="single" w:color="000000" w:sz="8" w:space="0"/>
            </w:tcBorders>
            <w:shd w:val="clear" w:color="auto" w:fill="FFFFFF"/>
            <w:vAlign w:val="center"/>
          </w:tcPr>
          <w:p>
            <w:pPr>
              <w:spacing w:before="100" w:after="100"/>
              <w:jc w:val="center"/>
              <w:rPr>
                <w:rFonts w:ascii="宋体" w:hAnsi="宋体" w:eastAsia="宋体" w:cs="宋体"/>
                <w:b/>
                <w:szCs w:val="21"/>
              </w:rPr>
            </w:pPr>
            <w:r>
              <w:rPr>
                <w:rFonts w:hint="eastAsia" w:ascii="宋体" w:hAnsi="宋体" w:eastAsia="宋体"/>
                <w:b/>
                <w:szCs w:val="21"/>
              </w:rPr>
              <w:t>分值</w:t>
            </w:r>
          </w:p>
        </w:tc>
        <w:tc>
          <w:tcPr>
            <w:tcW w:w="5948" w:type="dxa"/>
            <w:tcBorders>
              <w:top w:val="single" w:color="000000" w:sz="8" w:space="0"/>
              <w:left w:val="single" w:color="000000" w:sz="2" w:space="0"/>
              <w:bottom w:val="single" w:color="000000" w:sz="4" w:space="0"/>
              <w:right w:val="single" w:color="000000" w:sz="8" w:space="0"/>
            </w:tcBorders>
            <w:shd w:val="clear" w:color="auto" w:fill="FFFFFF"/>
            <w:vAlign w:val="center"/>
          </w:tcPr>
          <w:p>
            <w:pPr>
              <w:spacing w:before="100" w:after="100"/>
              <w:jc w:val="center"/>
              <w:rPr>
                <w:rFonts w:ascii="宋体" w:hAnsi="宋体" w:eastAsia="宋体" w:cs="宋体"/>
                <w:b/>
                <w:szCs w:val="21"/>
              </w:rPr>
            </w:pPr>
            <w:r>
              <w:rPr>
                <w:rFonts w:hint="eastAsia" w:ascii="宋体" w:hAnsi="宋体" w:eastAsia="宋体"/>
                <w:b/>
                <w:szCs w:val="21"/>
              </w:rPr>
              <w:t>评标标准</w:t>
            </w:r>
          </w:p>
        </w:tc>
      </w:tr>
      <w:tr>
        <w:tblPrEx>
          <w:tblCellMar>
            <w:top w:w="0" w:type="dxa"/>
            <w:left w:w="108" w:type="dxa"/>
            <w:bottom w:w="0" w:type="dxa"/>
            <w:right w:w="108" w:type="dxa"/>
          </w:tblCellMar>
        </w:tblPrEx>
        <w:trPr>
          <w:trHeight w:val="2889" w:hRule="atLeast"/>
          <w:jc w:val="center"/>
        </w:trPr>
        <w:tc>
          <w:tcPr>
            <w:tcW w:w="1188" w:type="dxa"/>
            <w:tcBorders>
              <w:top w:val="single" w:color="000000" w:sz="8" w:space="0"/>
              <w:left w:val="single" w:color="000000" w:sz="8" w:space="0"/>
              <w:bottom w:val="single" w:color="000000" w:sz="4" w:space="0"/>
              <w:right w:val="single" w:color="000000" w:sz="8" w:space="0"/>
            </w:tcBorders>
            <w:shd w:val="clear" w:color="auto" w:fill="FFFFFF"/>
            <w:vAlign w:val="center"/>
          </w:tcPr>
          <w:p>
            <w:pPr>
              <w:spacing w:after="200" w:line="273" w:lineRule="auto"/>
              <w:rPr>
                <w:rFonts w:ascii="仿宋_GB2312" w:hAnsi="宋体" w:eastAsia="仿宋_GB2312"/>
                <w:szCs w:val="21"/>
              </w:rPr>
            </w:pPr>
            <w:r>
              <w:rPr>
                <w:rFonts w:hint="eastAsia" w:ascii="仿宋_GB2312" w:hAnsi="宋体" w:eastAsia="仿宋_GB2312"/>
                <w:szCs w:val="21"/>
              </w:rPr>
              <w:t>价格部分（10分）</w:t>
            </w:r>
          </w:p>
        </w:tc>
        <w:tc>
          <w:tcPr>
            <w:tcW w:w="2126" w:type="dxa"/>
            <w:tcBorders>
              <w:top w:val="single" w:color="000000" w:sz="8" w:space="0"/>
              <w:left w:val="nil"/>
              <w:bottom w:val="single" w:color="000000" w:sz="4" w:space="0"/>
              <w:right w:val="single" w:color="000000" w:sz="8" w:space="0"/>
            </w:tcBorders>
            <w:shd w:val="clear" w:color="auto" w:fill="FFFFFF"/>
            <w:vAlign w:val="center"/>
          </w:tcPr>
          <w:p>
            <w:pPr>
              <w:spacing w:before="100" w:after="100"/>
              <w:jc w:val="center"/>
              <w:rPr>
                <w:rFonts w:ascii="仿宋_GB2312" w:hAnsi="宋体" w:eastAsia="仿宋_GB2312" w:cs="宋体"/>
                <w:kern w:val="0"/>
                <w:szCs w:val="21"/>
              </w:rPr>
            </w:pPr>
            <w:r>
              <w:rPr>
                <w:rFonts w:hint="eastAsia" w:ascii="仿宋_GB2312" w:hAnsi="宋体" w:eastAsia="仿宋_GB2312" w:cs="宋体"/>
                <w:kern w:val="0"/>
                <w:szCs w:val="21"/>
              </w:rPr>
              <w:t>遴选报价</w:t>
            </w:r>
          </w:p>
        </w:tc>
        <w:tc>
          <w:tcPr>
            <w:tcW w:w="831" w:type="dxa"/>
            <w:tcBorders>
              <w:top w:val="single" w:color="000000" w:sz="8" w:space="0"/>
              <w:left w:val="nil"/>
              <w:bottom w:val="single" w:color="000000" w:sz="4" w:space="0"/>
              <w:right w:val="single" w:color="000000" w:sz="8" w:space="0"/>
            </w:tcBorders>
            <w:shd w:val="clear" w:color="auto" w:fill="FFFFFF"/>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 xml:space="preserve">10 </w:t>
            </w:r>
          </w:p>
        </w:tc>
        <w:tc>
          <w:tcPr>
            <w:tcW w:w="5948" w:type="dxa"/>
            <w:tcBorders>
              <w:top w:val="single" w:color="000000" w:sz="8" w:space="0"/>
              <w:left w:val="single" w:color="000000" w:sz="2" w:space="0"/>
              <w:bottom w:val="single" w:color="000000" w:sz="4" w:space="0"/>
              <w:right w:val="single" w:color="000000" w:sz="8" w:space="0"/>
            </w:tcBorders>
            <w:shd w:val="clear" w:color="auto" w:fill="FFFFFF"/>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综合评分法中的价格分统一采用低价优先法计算，即满足遴选文件要求且价格最低的评审价为评标基准价，其价格分为满分。其他供应商的价格分统一按照下列公式计算：价格分数=（基准价/遴选报价）×10</w:t>
            </w:r>
          </w:p>
          <w:p>
            <w:pPr>
              <w:rPr>
                <w:rFonts w:ascii="仿宋_GB2312" w:hAnsi="仿宋_GB2312" w:eastAsia="仿宋_GB2312" w:cs="仿宋_GB2312"/>
                <w:kern w:val="0"/>
                <w:szCs w:val="21"/>
              </w:rPr>
            </w:pPr>
            <w:r>
              <w:rPr>
                <w:rFonts w:hint="eastAsia" w:ascii="仿宋_GB2312" w:hAnsi="仿宋_GB2312" w:eastAsia="仿宋_GB2312" w:cs="仿宋_GB2312"/>
                <w:szCs w:val="21"/>
              </w:rPr>
              <w:t>【如评审专家组认为某供应商报价明显低于其他供应商报价时，会要求其在评审现场合理的时间内提供书面说明，必要时提交相关材料。如供应商不能在指定时间证明其报价合理性的，评审专家组有权将其作为无效遴选处理】</w:t>
            </w:r>
          </w:p>
        </w:tc>
      </w:tr>
      <w:tr>
        <w:tblPrEx>
          <w:tblCellMar>
            <w:top w:w="0" w:type="dxa"/>
            <w:left w:w="108" w:type="dxa"/>
            <w:bottom w:w="0" w:type="dxa"/>
            <w:right w:w="108" w:type="dxa"/>
          </w:tblCellMar>
        </w:tblPrEx>
        <w:trPr>
          <w:jc w:val="center"/>
        </w:trPr>
        <w:tc>
          <w:tcPr>
            <w:tcW w:w="1188" w:type="dxa"/>
            <w:vMerge w:val="restart"/>
            <w:tcBorders>
              <w:top w:val="nil"/>
              <w:left w:val="single" w:color="000000" w:sz="8" w:space="0"/>
              <w:bottom w:val="single" w:color="000000" w:sz="4" w:space="0"/>
              <w:right w:val="single" w:color="000000" w:sz="8" w:space="0"/>
            </w:tcBorders>
            <w:shd w:val="clear" w:color="auto" w:fill="FFFFFF"/>
            <w:vAlign w:val="center"/>
          </w:tcPr>
          <w:p>
            <w:pPr>
              <w:spacing w:before="100" w:after="100"/>
              <w:jc w:val="center"/>
              <w:rPr>
                <w:rFonts w:ascii="仿宋_GB2312" w:hAnsi="宋体" w:eastAsia="仿宋_GB2312" w:cs="宋体"/>
                <w:szCs w:val="21"/>
              </w:rPr>
            </w:pPr>
            <w:r>
              <w:rPr>
                <w:rFonts w:hint="eastAsia" w:ascii="仿宋_GB2312" w:hAnsi="宋体" w:eastAsia="仿宋_GB2312"/>
                <w:szCs w:val="21"/>
              </w:rPr>
              <w:t>商务部分（35分）</w:t>
            </w:r>
          </w:p>
        </w:tc>
        <w:tc>
          <w:tcPr>
            <w:tcW w:w="2126" w:type="dxa"/>
            <w:tcBorders>
              <w:top w:val="single" w:color="000000" w:sz="4" w:space="0"/>
              <w:left w:val="nil"/>
              <w:bottom w:val="single" w:color="000000" w:sz="4" w:space="0"/>
              <w:right w:val="single" w:color="000000" w:sz="8" w:space="0"/>
            </w:tcBorders>
            <w:shd w:val="clear" w:color="auto" w:fill="FFFFFF"/>
            <w:vAlign w:val="center"/>
          </w:tcPr>
          <w:p>
            <w:pPr>
              <w:spacing w:before="100" w:after="100"/>
              <w:rPr>
                <w:rFonts w:ascii="仿宋_GB2312" w:hAnsi="宋体" w:eastAsia="仿宋_GB2312" w:cs="宋体"/>
                <w:szCs w:val="21"/>
              </w:rPr>
            </w:pPr>
            <w:r>
              <w:rPr>
                <w:rFonts w:hint="eastAsia" w:ascii="仿宋_GB2312" w:hAnsi="宋体" w:eastAsia="仿宋_GB2312"/>
                <w:szCs w:val="21"/>
              </w:rPr>
              <w:t>承担类似项目业绩</w:t>
            </w:r>
          </w:p>
        </w:tc>
        <w:tc>
          <w:tcPr>
            <w:tcW w:w="831" w:type="dxa"/>
            <w:tcBorders>
              <w:top w:val="single" w:color="000000" w:sz="4" w:space="0"/>
              <w:left w:val="nil"/>
              <w:bottom w:val="single" w:color="000000" w:sz="4" w:space="0"/>
              <w:right w:val="single" w:color="000000" w:sz="8" w:space="0"/>
            </w:tcBorders>
            <w:shd w:val="clear" w:color="auto" w:fill="FFFFFF"/>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948" w:type="dxa"/>
            <w:tcBorders>
              <w:top w:val="single" w:color="000000" w:sz="4" w:space="0"/>
              <w:left w:val="single" w:color="000000" w:sz="2" w:space="0"/>
              <w:bottom w:val="single" w:color="000000" w:sz="4" w:space="0"/>
              <w:right w:val="single" w:color="000000" w:sz="8" w:space="0"/>
            </w:tcBorders>
            <w:shd w:val="clear" w:color="auto" w:fill="FFFFFF"/>
            <w:vAlign w:val="center"/>
          </w:tcPr>
          <w:p>
            <w:pPr>
              <w:rPr>
                <w:rFonts w:ascii="仿宋_GB2312" w:hAnsi="仿宋_GB2312" w:eastAsia="仿宋_GB2312" w:cs="仿宋_GB2312"/>
                <w:szCs w:val="21"/>
              </w:rPr>
            </w:pPr>
            <w:r>
              <w:rPr>
                <w:rFonts w:hint="eastAsia" w:ascii="仿宋_GB2312" w:hAnsi="仿宋_GB2312" w:eastAsia="仿宋_GB2312" w:cs="仿宋_GB2312"/>
                <w:kern w:val="0"/>
                <w:szCs w:val="21"/>
              </w:rPr>
              <w:t>根据供应商近五年（2017年起至本遴选公告发布前，以合同签订日期为准）</w:t>
            </w:r>
            <w:r>
              <w:rPr>
                <w:rFonts w:hint="eastAsia" w:ascii="仿宋_GB2312" w:hAnsi="仿宋_GB2312" w:eastAsia="仿宋_GB2312" w:cs="仿宋_GB2312"/>
                <w:kern w:val="0"/>
                <w:szCs w:val="21"/>
                <w:highlight w:val="none"/>
              </w:rPr>
              <w:t>承担</w:t>
            </w:r>
            <w:r>
              <w:rPr>
                <w:rFonts w:hint="eastAsia" w:ascii="仿宋_GB2312" w:hAnsi="仿宋_GB2312" w:eastAsia="仿宋_GB2312" w:cs="仿宋_GB2312"/>
                <w:kern w:val="0"/>
                <w:szCs w:val="21"/>
                <w:highlight w:val="none"/>
                <w:lang w:eastAsia="zh-CN"/>
              </w:rPr>
              <w:t>过司局级及以上政府部门委托的</w:t>
            </w:r>
            <w:r>
              <w:rPr>
                <w:rFonts w:hint="eastAsia" w:ascii="仿宋_GB2312" w:hAnsi="仿宋_GB2312" w:eastAsia="仿宋_GB2312" w:cs="仿宋_GB2312"/>
                <w:kern w:val="0"/>
                <w:szCs w:val="21"/>
                <w:highlight w:val="none"/>
              </w:rPr>
              <w:t>医药</w:t>
            </w:r>
            <w:r>
              <w:rPr>
                <w:rFonts w:hint="eastAsia" w:ascii="仿宋_GB2312" w:hAnsi="仿宋_GB2312" w:eastAsia="仿宋_GB2312" w:cs="仿宋_GB2312"/>
                <w:kern w:val="0"/>
                <w:szCs w:val="21"/>
                <w:highlight w:val="none"/>
                <w:lang w:eastAsia="zh-CN"/>
              </w:rPr>
              <w:t>卫生</w:t>
            </w:r>
            <w:r>
              <w:rPr>
                <w:rFonts w:hint="eastAsia" w:ascii="仿宋_GB2312" w:hAnsi="仿宋_GB2312" w:eastAsia="仿宋_GB2312" w:cs="仿宋_GB2312"/>
                <w:kern w:val="0"/>
                <w:szCs w:val="21"/>
                <w:highlight w:val="none"/>
              </w:rPr>
              <w:t>相关项目评价研究</w:t>
            </w:r>
            <w:r>
              <w:rPr>
                <w:rFonts w:hint="eastAsia" w:ascii="仿宋_GB2312" w:hAnsi="仿宋_GB2312" w:eastAsia="仿宋_GB2312" w:cs="仿宋_GB2312"/>
                <w:kern w:val="0"/>
                <w:szCs w:val="21"/>
              </w:rPr>
              <w:t>的项目</w:t>
            </w:r>
            <w:r>
              <w:rPr>
                <w:rFonts w:hint="eastAsia" w:ascii="仿宋_GB2312" w:hAnsi="仿宋_GB2312" w:eastAsia="仿宋_GB2312" w:cs="仿宋_GB2312"/>
                <w:szCs w:val="21"/>
              </w:rPr>
              <w:t>业绩进行评价。</w:t>
            </w:r>
          </w:p>
          <w:p>
            <w:pPr>
              <w:rPr>
                <w:rFonts w:ascii="仿宋_GB2312" w:hAnsi="仿宋_GB2312" w:eastAsia="仿宋_GB2312" w:cs="仿宋_GB2312"/>
                <w:szCs w:val="21"/>
              </w:rPr>
            </w:pPr>
            <w:r>
              <w:rPr>
                <w:rFonts w:hint="eastAsia" w:ascii="仿宋_GB2312" w:hAnsi="仿宋_GB2312" w:eastAsia="仿宋_GB2312" w:cs="仿宋_GB2312"/>
                <w:szCs w:val="21"/>
              </w:rPr>
              <w:t>每承接1个类似规模</w:t>
            </w:r>
            <w:r>
              <w:rPr>
                <w:rFonts w:hint="eastAsia" w:ascii="仿宋_GB2312" w:hAnsi="仿宋_GB2312" w:eastAsia="仿宋_GB2312" w:cs="仿宋_GB2312"/>
                <w:szCs w:val="21"/>
                <w:lang w:eastAsia="zh-CN"/>
              </w:rPr>
              <w:t>或级别</w:t>
            </w:r>
            <w:r>
              <w:rPr>
                <w:rFonts w:hint="eastAsia" w:ascii="仿宋_GB2312" w:hAnsi="仿宋_GB2312" w:eastAsia="仿宋_GB2312" w:cs="仿宋_GB2312"/>
                <w:szCs w:val="21"/>
              </w:rPr>
              <w:t>的项目业绩得2分，最多得10分。</w:t>
            </w:r>
            <w:r>
              <w:rPr>
                <w:rFonts w:hint="eastAsia" w:ascii="仿宋_GB2312" w:hAnsi="仿宋_GB2312" w:eastAsia="仿宋_GB2312" w:cs="仿宋_GB2312"/>
                <w:kern w:val="0"/>
                <w:szCs w:val="21"/>
              </w:rPr>
              <w:t>注：供应商需提供项目合同复印件（至少应包括合同首页、内容页、签字盖章页）作为证明业绩证明材料，如未提供业绩证明材料或提供的材料不齐全的，业绩将不予认可。</w:t>
            </w:r>
          </w:p>
        </w:tc>
      </w:tr>
      <w:tr>
        <w:tblPrEx>
          <w:tblCellMar>
            <w:top w:w="0" w:type="dxa"/>
            <w:left w:w="108" w:type="dxa"/>
            <w:bottom w:w="0" w:type="dxa"/>
            <w:right w:w="108" w:type="dxa"/>
          </w:tblCellMar>
        </w:tblPrEx>
        <w:trPr>
          <w:jc w:val="center"/>
        </w:trPr>
        <w:tc>
          <w:tcPr>
            <w:tcW w:w="1188" w:type="dxa"/>
            <w:vMerge w:val="continue"/>
            <w:tcBorders>
              <w:top w:val="nil"/>
              <w:left w:val="single" w:color="000000" w:sz="8" w:space="0"/>
              <w:bottom w:val="single" w:color="000000" w:sz="4" w:space="0"/>
              <w:right w:val="single" w:color="000000" w:sz="8" w:space="0"/>
            </w:tcBorders>
            <w:shd w:val="clear" w:color="auto" w:fill="auto"/>
            <w:vAlign w:val="center"/>
          </w:tcPr>
          <w:p>
            <w:pPr>
              <w:rPr>
                <w:rFonts w:ascii="仿宋_GB2312" w:hAnsi="宋体" w:eastAsia="仿宋_GB2312" w:cs="宋体"/>
                <w:szCs w:val="21"/>
              </w:rPr>
            </w:pPr>
          </w:p>
        </w:tc>
        <w:tc>
          <w:tcPr>
            <w:tcW w:w="2126" w:type="dxa"/>
            <w:tcBorders>
              <w:top w:val="single" w:color="000000" w:sz="4" w:space="0"/>
              <w:left w:val="nil"/>
              <w:bottom w:val="single" w:color="000000" w:sz="4" w:space="0"/>
              <w:right w:val="single" w:color="000000" w:sz="8" w:space="0"/>
            </w:tcBorders>
            <w:shd w:val="clear" w:color="auto" w:fill="FFFFFF"/>
            <w:vAlign w:val="center"/>
          </w:tcPr>
          <w:p>
            <w:pPr>
              <w:spacing w:before="100" w:after="100"/>
              <w:rPr>
                <w:rFonts w:ascii="仿宋_GB2312" w:hAnsi="宋体" w:eastAsia="仿宋_GB2312" w:cs="宋体"/>
                <w:szCs w:val="21"/>
              </w:rPr>
            </w:pPr>
            <w:r>
              <w:rPr>
                <w:rFonts w:hint="eastAsia" w:ascii="仿宋_GB2312" w:hAnsi="宋体" w:eastAsia="仿宋_GB2312"/>
                <w:szCs w:val="21"/>
              </w:rPr>
              <w:t>人力资源评价</w:t>
            </w:r>
          </w:p>
        </w:tc>
        <w:tc>
          <w:tcPr>
            <w:tcW w:w="831" w:type="dxa"/>
            <w:tcBorders>
              <w:top w:val="single" w:color="000000" w:sz="4" w:space="0"/>
              <w:left w:val="nil"/>
              <w:bottom w:val="single" w:color="000000" w:sz="4" w:space="0"/>
              <w:right w:val="single" w:color="000000" w:sz="8" w:space="0"/>
            </w:tcBorders>
            <w:shd w:val="clear" w:color="auto" w:fill="FFFFFF"/>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5948" w:type="dxa"/>
            <w:tcBorders>
              <w:top w:val="single" w:color="000000" w:sz="4" w:space="0"/>
              <w:left w:val="single" w:color="000000" w:sz="2" w:space="0"/>
              <w:bottom w:val="single" w:color="000000" w:sz="4" w:space="0"/>
              <w:right w:val="single" w:color="000000" w:sz="8" w:space="0"/>
            </w:tcBorders>
            <w:shd w:val="clear" w:color="auto" w:fill="FFFFFF"/>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根据供应商拟派人力资源情况进行评价，需提供拟派人力资源名单</w:t>
            </w:r>
            <w:r>
              <w:rPr>
                <w:rFonts w:hint="eastAsia" w:ascii="仿宋_GB2312" w:hAnsi="仿宋_GB2312" w:eastAsia="仿宋_GB2312" w:cs="仿宋_GB2312"/>
                <w:szCs w:val="21"/>
                <w:highlight w:val="none"/>
                <w:lang w:eastAsia="zh-CN"/>
              </w:rPr>
              <w:t>及工作经历、业绩等证明材料</w:t>
            </w:r>
            <w:r>
              <w:rPr>
                <w:rFonts w:hint="eastAsia" w:ascii="仿宋_GB2312" w:hAnsi="仿宋_GB2312" w:eastAsia="仿宋_GB2312" w:cs="仿宋_GB2312"/>
                <w:szCs w:val="21"/>
              </w:rPr>
              <w:t>。其中：</w:t>
            </w:r>
          </w:p>
          <w:p>
            <w:pPr>
              <w:rPr>
                <w:rFonts w:ascii="仿宋_GB2312" w:hAnsi="仿宋_GB2312" w:eastAsia="仿宋_GB2312" w:cs="仿宋_GB2312"/>
                <w:szCs w:val="21"/>
              </w:rPr>
            </w:pPr>
            <w:r>
              <w:rPr>
                <w:rFonts w:hint="eastAsia" w:ascii="仿宋_GB2312" w:hAnsi="仿宋_GB2312" w:eastAsia="仿宋_GB2312" w:cs="仿宋_GB2312"/>
                <w:szCs w:val="21"/>
              </w:rPr>
              <w:t>第一类：</w:t>
            </w:r>
            <w:r>
              <w:rPr>
                <w:rFonts w:hint="eastAsia" w:ascii="仿宋_GB2312" w:hAnsi="仿宋_GB2312" w:eastAsia="仿宋_GB2312" w:cs="仿宋_GB2312"/>
                <w:szCs w:val="21"/>
                <w:u w:val="none"/>
              </w:rPr>
              <w:t>参与</w:t>
            </w:r>
            <w:r>
              <w:rPr>
                <w:rFonts w:hint="eastAsia" w:ascii="仿宋_GB2312" w:hAnsi="仿宋_GB2312" w:eastAsia="仿宋_GB2312" w:cs="仿宋_GB2312"/>
                <w:szCs w:val="21"/>
                <w:highlight w:val="none"/>
                <w:u w:val="none"/>
                <w:lang w:eastAsia="zh-CN"/>
              </w:rPr>
              <w:t>司局级及以上政府部门</w:t>
            </w:r>
            <w:r>
              <w:rPr>
                <w:rFonts w:hint="eastAsia" w:ascii="仿宋_GB2312" w:hAnsi="仿宋_GB2312" w:eastAsia="仿宋_GB2312" w:cs="仿宋_GB2312"/>
                <w:szCs w:val="21"/>
                <w:highlight w:val="none"/>
                <w:u w:val="none"/>
              </w:rPr>
              <w:t>医药</w:t>
            </w:r>
            <w:r>
              <w:rPr>
                <w:rFonts w:hint="eastAsia" w:ascii="仿宋_GB2312" w:hAnsi="仿宋_GB2312" w:eastAsia="仿宋_GB2312" w:cs="仿宋_GB2312"/>
                <w:szCs w:val="21"/>
                <w:highlight w:val="none"/>
                <w:u w:val="none"/>
                <w:lang w:eastAsia="zh-CN"/>
              </w:rPr>
              <w:t>卫生</w:t>
            </w:r>
            <w:r>
              <w:rPr>
                <w:rFonts w:hint="eastAsia" w:ascii="仿宋_GB2312" w:hAnsi="仿宋_GB2312" w:eastAsia="仿宋_GB2312" w:cs="仿宋_GB2312"/>
                <w:szCs w:val="21"/>
                <w:highlight w:val="none"/>
                <w:u w:val="none"/>
              </w:rPr>
              <w:t>相关政策制定</w:t>
            </w:r>
            <w:r>
              <w:rPr>
                <w:rFonts w:hint="eastAsia" w:ascii="仿宋_GB2312" w:hAnsi="仿宋_GB2312" w:eastAsia="仿宋_GB2312" w:cs="仿宋_GB2312"/>
                <w:szCs w:val="21"/>
                <w:highlight w:val="none"/>
              </w:rPr>
              <w:t>人员</w:t>
            </w:r>
            <w:r>
              <w:rPr>
                <w:rFonts w:hint="eastAsia" w:ascii="仿宋_GB2312" w:hAnsi="仿宋_GB2312" w:eastAsia="仿宋_GB2312" w:cs="仿宋_GB2312"/>
                <w:szCs w:val="21"/>
              </w:rPr>
              <w:t>不少于10人：12分；</w:t>
            </w:r>
          </w:p>
          <w:p>
            <w:pPr>
              <w:rPr>
                <w:rFonts w:ascii="仿宋_GB2312" w:hAnsi="仿宋_GB2312" w:eastAsia="仿宋_GB2312" w:cs="仿宋_GB2312"/>
                <w:szCs w:val="21"/>
              </w:rPr>
            </w:pPr>
            <w:r>
              <w:rPr>
                <w:rFonts w:hint="eastAsia" w:ascii="仿宋_GB2312" w:hAnsi="仿宋_GB2312" w:eastAsia="仿宋_GB2312" w:cs="仿宋_GB2312"/>
                <w:szCs w:val="21"/>
              </w:rPr>
              <w:t>第二类：参与</w:t>
            </w:r>
            <w:r>
              <w:rPr>
                <w:rFonts w:hint="eastAsia" w:ascii="仿宋_GB2312" w:hAnsi="仿宋_GB2312" w:eastAsia="仿宋_GB2312" w:cs="仿宋_GB2312"/>
                <w:szCs w:val="21"/>
                <w:highlight w:val="none"/>
                <w:lang w:eastAsia="zh-CN"/>
              </w:rPr>
              <w:t>司局级及以上</w:t>
            </w:r>
            <w:r>
              <w:rPr>
                <w:rFonts w:hint="eastAsia" w:ascii="仿宋_GB2312" w:hAnsi="仿宋_GB2312" w:eastAsia="仿宋_GB2312" w:cs="仿宋_GB2312"/>
                <w:szCs w:val="21"/>
                <w:highlight w:val="none"/>
              </w:rPr>
              <w:t>医药</w:t>
            </w:r>
            <w:r>
              <w:rPr>
                <w:rFonts w:hint="eastAsia" w:ascii="仿宋_GB2312" w:hAnsi="仿宋_GB2312" w:eastAsia="仿宋_GB2312" w:cs="仿宋_GB2312"/>
                <w:szCs w:val="21"/>
                <w:highlight w:val="none"/>
                <w:lang w:eastAsia="zh-CN"/>
              </w:rPr>
              <w:t>卫生</w:t>
            </w:r>
            <w:r>
              <w:rPr>
                <w:rFonts w:hint="eastAsia" w:ascii="仿宋_GB2312" w:hAnsi="仿宋_GB2312" w:eastAsia="仿宋_GB2312" w:cs="仿宋_GB2312"/>
                <w:szCs w:val="21"/>
                <w:highlight w:val="none"/>
              </w:rPr>
              <w:t>相关标准或指南</w:t>
            </w:r>
            <w:r>
              <w:rPr>
                <w:rFonts w:hint="eastAsia" w:ascii="仿宋_GB2312" w:hAnsi="仿宋_GB2312" w:eastAsia="仿宋_GB2312" w:cs="仿宋_GB2312"/>
                <w:szCs w:val="21"/>
              </w:rPr>
              <w:t>制定人员不少于5人：8分</w:t>
            </w:r>
          </w:p>
        </w:tc>
      </w:tr>
      <w:tr>
        <w:tblPrEx>
          <w:tblCellMar>
            <w:top w:w="0" w:type="dxa"/>
            <w:left w:w="108" w:type="dxa"/>
            <w:bottom w:w="0" w:type="dxa"/>
            <w:right w:w="108" w:type="dxa"/>
          </w:tblCellMar>
        </w:tblPrEx>
        <w:trPr>
          <w:jc w:val="center"/>
        </w:trPr>
        <w:tc>
          <w:tcPr>
            <w:tcW w:w="1188" w:type="dxa"/>
            <w:vMerge w:val="continue"/>
            <w:tcBorders>
              <w:top w:val="nil"/>
              <w:left w:val="single" w:color="000000" w:sz="8" w:space="0"/>
              <w:bottom w:val="single" w:color="000000" w:sz="4" w:space="0"/>
              <w:right w:val="single" w:color="000000" w:sz="8" w:space="0"/>
            </w:tcBorders>
            <w:shd w:val="clear" w:color="auto" w:fill="auto"/>
            <w:vAlign w:val="center"/>
          </w:tcPr>
          <w:p>
            <w:pPr>
              <w:rPr>
                <w:rFonts w:ascii="仿宋_GB2312" w:hAnsi="宋体" w:eastAsia="仿宋_GB2312" w:cs="宋体"/>
                <w:szCs w:val="21"/>
              </w:rPr>
            </w:pPr>
          </w:p>
        </w:tc>
        <w:tc>
          <w:tcPr>
            <w:tcW w:w="2126" w:type="dxa"/>
            <w:tcBorders>
              <w:top w:val="single" w:color="000000" w:sz="4" w:space="0"/>
              <w:left w:val="nil"/>
              <w:bottom w:val="single" w:color="000000" w:sz="4" w:space="0"/>
              <w:right w:val="single" w:color="000000" w:sz="8" w:space="0"/>
            </w:tcBorders>
            <w:shd w:val="clear" w:color="auto" w:fill="FFFFFF"/>
            <w:vAlign w:val="center"/>
          </w:tcPr>
          <w:p>
            <w:pPr>
              <w:spacing w:before="100" w:after="100"/>
              <w:rPr>
                <w:rFonts w:ascii="仿宋_GB2312" w:hAnsi="宋体" w:eastAsia="仿宋_GB2312" w:cs="宋体"/>
                <w:szCs w:val="21"/>
              </w:rPr>
            </w:pPr>
            <w:r>
              <w:rPr>
                <w:rFonts w:hint="eastAsia" w:ascii="仿宋_GB2312" w:hAnsi="宋体" w:eastAsia="仿宋_GB2312"/>
                <w:szCs w:val="21"/>
              </w:rPr>
              <w:t>拟投入的项目负责人评价</w:t>
            </w:r>
          </w:p>
        </w:tc>
        <w:tc>
          <w:tcPr>
            <w:tcW w:w="831" w:type="dxa"/>
            <w:tcBorders>
              <w:top w:val="single" w:color="000000" w:sz="4" w:space="0"/>
              <w:left w:val="nil"/>
              <w:bottom w:val="single" w:color="000000" w:sz="4" w:space="0"/>
              <w:right w:val="single" w:color="000000" w:sz="8" w:space="0"/>
            </w:tcBorders>
            <w:shd w:val="clear" w:color="auto" w:fill="FFFFFF"/>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5948" w:type="dxa"/>
            <w:tcBorders>
              <w:top w:val="single" w:color="000000" w:sz="4" w:space="0"/>
              <w:left w:val="single" w:color="000000" w:sz="2" w:space="0"/>
              <w:bottom w:val="single" w:color="000000" w:sz="4" w:space="0"/>
              <w:right w:val="single" w:color="000000" w:sz="8" w:space="0"/>
            </w:tcBorders>
            <w:shd w:val="clear" w:color="auto" w:fill="FFFFFF"/>
            <w:vAlign w:val="center"/>
          </w:tcPr>
          <w:p>
            <w:pPr>
              <w:rPr>
                <w:rFonts w:ascii="仿宋_GB2312" w:hAnsi="仿宋_GB2312" w:eastAsia="仿宋_GB2312" w:cs="仿宋_GB2312"/>
                <w:szCs w:val="21"/>
              </w:rPr>
            </w:pPr>
            <w:r>
              <w:rPr>
                <w:rFonts w:hint="eastAsia" w:ascii="仿宋_GB2312" w:hAnsi="仿宋_GB2312" w:eastAsia="仿宋_GB2312" w:cs="仿宋_GB2312"/>
                <w:szCs w:val="21"/>
                <w:u w:val="none"/>
              </w:rPr>
              <w:t>项目负责人</w:t>
            </w:r>
            <w:r>
              <w:rPr>
                <w:rFonts w:hint="eastAsia" w:ascii="仿宋_GB2312" w:hAnsi="仿宋_GB2312" w:eastAsia="仿宋_GB2312" w:cs="仿宋_GB2312"/>
                <w:szCs w:val="21"/>
                <w:highlight w:val="none"/>
                <w:u w:val="none"/>
              </w:rPr>
              <w:t>不少于10年工作经验、具有博士</w:t>
            </w:r>
            <w:r>
              <w:rPr>
                <w:rFonts w:hint="eastAsia" w:ascii="仿宋_GB2312" w:hAnsi="仿宋_GB2312" w:eastAsia="仿宋_GB2312" w:cs="仿宋_GB2312"/>
                <w:szCs w:val="21"/>
                <w:highlight w:val="none"/>
                <w:u w:val="none"/>
                <w:lang w:eastAsia="zh-CN"/>
              </w:rPr>
              <w:t>学位</w:t>
            </w:r>
            <w:r>
              <w:rPr>
                <w:rFonts w:hint="eastAsia" w:ascii="仿宋_GB2312" w:hAnsi="仿宋_GB2312" w:eastAsia="仿宋_GB2312" w:cs="仿宋_GB2312"/>
                <w:szCs w:val="21"/>
                <w:highlight w:val="none"/>
                <w:u w:val="none"/>
              </w:rPr>
              <w:t>，</w:t>
            </w:r>
            <w:r>
              <w:rPr>
                <w:rFonts w:hint="eastAsia" w:ascii="仿宋_GB2312" w:hAnsi="仿宋_GB2312" w:eastAsia="仿宋_GB2312" w:cs="仿宋_GB2312"/>
                <w:szCs w:val="21"/>
                <w:highlight w:val="none"/>
              </w:rPr>
              <w:t>且曾经参与司局级及以上政府部门委托</w:t>
            </w:r>
            <w:r>
              <w:rPr>
                <w:rFonts w:hint="eastAsia" w:ascii="仿宋_GB2312" w:hAnsi="仿宋_GB2312" w:eastAsia="仿宋_GB2312" w:cs="仿宋_GB2312"/>
                <w:szCs w:val="21"/>
              </w:rPr>
              <w:t>类似项目工作经验。符合上述全部要求的得5分，每不满足1项要求扣2.5分，扣完为止。</w:t>
            </w:r>
          </w:p>
        </w:tc>
      </w:tr>
      <w:tr>
        <w:tblPrEx>
          <w:tblCellMar>
            <w:top w:w="0" w:type="dxa"/>
            <w:left w:w="108" w:type="dxa"/>
            <w:bottom w:w="0" w:type="dxa"/>
            <w:right w:w="108" w:type="dxa"/>
          </w:tblCellMar>
        </w:tblPrEx>
        <w:trPr>
          <w:jc w:val="center"/>
        </w:trPr>
        <w:tc>
          <w:tcPr>
            <w:tcW w:w="1188" w:type="dxa"/>
            <w:vMerge w:val="restart"/>
            <w:tcBorders>
              <w:top w:val="nil"/>
              <w:left w:val="single" w:color="000000" w:sz="8" w:space="0"/>
              <w:bottom w:val="single" w:color="000000" w:sz="4" w:space="0"/>
              <w:right w:val="single" w:color="000000" w:sz="8" w:space="0"/>
            </w:tcBorders>
            <w:shd w:val="clear" w:color="auto" w:fill="FFFFFF"/>
            <w:vAlign w:val="center"/>
          </w:tcPr>
          <w:p>
            <w:pPr>
              <w:spacing w:before="100" w:after="100"/>
              <w:jc w:val="center"/>
              <w:rPr>
                <w:rFonts w:ascii="仿宋_GB2312" w:hAnsi="宋体" w:eastAsia="仿宋_GB2312" w:cs="宋体"/>
                <w:szCs w:val="21"/>
              </w:rPr>
            </w:pPr>
            <w:r>
              <w:rPr>
                <w:rFonts w:hint="eastAsia" w:ascii="仿宋_GB2312" w:hAnsi="宋体" w:eastAsia="仿宋_GB2312"/>
                <w:szCs w:val="21"/>
              </w:rPr>
              <w:t>技术部分（55分）</w:t>
            </w:r>
          </w:p>
        </w:tc>
        <w:tc>
          <w:tcPr>
            <w:tcW w:w="2126" w:type="dxa"/>
            <w:tcBorders>
              <w:top w:val="single" w:color="000000" w:sz="4" w:space="0"/>
              <w:left w:val="nil"/>
              <w:bottom w:val="single" w:color="000000" w:sz="4" w:space="0"/>
              <w:right w:val="single" w:color="000000" w:sz="8" w:space="0"/>
            </w:tcBorders>
            <w:shd w:val="clear" w:color="auto" w:fill="FFFFFF"/>
            <w:vAlign w:val="center"/>
          </w:tcPr>
          <w:p>
            <w:pPr>
              <w:spacing w:before="100" w:after="100"/>
              <w:rPr>
                <w:rFonts w:ascii="仿宋_GB2312" w:hAnsi="宋体" w:eastAsia="仿宋_GB2312" w:cs="宋体"/>
                <w:szCs w:val="21"/>
              </w:rPr>
            </w:pPr>
            <w:r>
              <w:rPr>
                <w:rFonts w:hint="eastAsia" w:ascii="仿宋_GB2312" w:hAnsi="宋体" w:eastAsia="仿宋_GB2312"/>
                <w:szCs w:val="21"/>
              </w:rPr>
              <w:t>针对本项目特点的专业化实施方案评价</w:t>
            </w:r>
          </w:p>
        </w:tc>
        <w:tc>
          <w:tcPr>
            <w:tcW w:w="831" w:type="dxa"/>
            <w:tcBorders>
              <w:top w:val="single" w:color="000000" w:sz="4" w:space="0"/>
              <w:left w:val="nil"/>
              <w:bottom w:val="single" w:color="000000" w:sz="4" w:space="0"/>
              <w:right w:val="single" w:color="000000" w:sz="8" w:space="0"/>
            </w:tcBorders>
            <w:shd w:val="clear" w:color="auto" w:fill="FFFFFF"/>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5948" w:type="dxa"/>
            <w:tcBorders>
              <w:top w:val="single" w:color="000000" w:sz="4" w:space="0"/>
              <w:left w:val="single" w:color="000000" w:sz="2" w:space="0"/>
              <w:bottom w:val="single" w:color="000000" w:sz="4" w:space="0"/>
              <w:right w:val="single" w:color="000000" w:sz="8" w:space="0"/>
            </w:tcBorders>
            <w:shd w:val="clear" w:color="auto" w:fill="FFFFFF"/>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针对本项目遴选需求提供①本项目实施方案②预期成果。每项内容满分10分，内容进行了详细的论述且满足遴选需求得10分，内容虽阐述但未贴合项目实际情况或内容未包括具体实施细节及措施得5分，内容未进行阐述或不满足遴选需求得0分。</w:t>
            </w:r>
          </w:p>
        </w:tc>
      </w:tr>
      <w:tr>
        <w:tblPrEx>
          <w:tblCellMar>
            <w:top w:w="0" w:type="dxa"/>
            <w:left w:w="108" w:type="dxa"/>
            <w:bottom w:w="0" w:type="dxa"/>
            <w:right w:w="108" w:type="dxa"/>
          </w:tblCellMar>
        </w:tblPrEx>
        <w:trPr>
          <w:jc w:val="center"/>
        </w:trPr>
        <w:tc>
          <w:tcPr>
            <w:tcW w:w="1188" w:type="dxa"/>
            <w:vMerge w:val="continue"/>
            <w:tcBorders>
              <w:top w:val="nil"/>
              <w:left w:val="single" w:color="000000" w:sz="8" w:space="0"/>
              <w:bottom w:val="single" w:color="000000" w:sz="4" w:space="0"/>
              <w:right w:val="single" w:color="000000" w:sz="8" w:space="0"/>
            </w:tcBorders>
            <w:shd w:val="clear" w:color="auto" w:fill="auto"/>
            <w:vAlign w:val="center"/>
          </w:tcPr>
          <w:p>
            <w:pPr>
              <w:rPr>
                <w:rFonts w:ascii="仿宋_GB2312" w:hAnsi="宋体" w:eastAsia="仿宋_GB2312" w:cs="宋体"/>
                <w:szCs w:val="21"/>
              </w:rPr>
            </w:pPr>
          </w:p>
        </w:tc>
        <w:tc>
          <w:tcPr>
            <w:tcW w:w="2126" w:type="dxa"/>
            <w:tcBorders>
              <w:top w:val="single" w:color="000000" w:sz="4" w:space="0"/>
              <w:left w:val="nil"/>
              <w:bottom w:val="single" w:color="000000" w:sz="4" w:space="0"/>
              <w:right w:val="single" w:color="000000" w:sz="8" w:space="0"/>
            </w:tcBorders>
            <w:shd w:val="clear" w:color="auto" w:fill="FFFFFF"/>
            <w:vAlign w:val="center"/>
          </w:tcPr>
          <w:p>
            <w:pPr>
              <w:spacing w:before="100" w:after="100"/>
              <w:rPr>
                <w:rFonts w:ascii="仿宋_GB2312" w:hAnsi="宋体" w:eastAsia="仿宋_GB2312" w:cs="宋体"/>
                <w:szCs w:val="21"/>
              </w:rPr>
            </w:pPr>
            <w:r>
              <w:rPr>
                <w:rFonts w:hint="eastAsia" w:ascii="仿宋_GB2312" w:hAnsi="宋体" w:eastAsia="仿宋_GB2312"/>
                <w:szCs w:val="21"/>
              </w:rPr>
              <w:t>对项目重点、难点的理解</w:t>
            </w:r>
          </w:p>
        </w:tc>
        <w:tc>
          <w:tcPr>
            <w:tcW w:w="831" w:type="dxa"/>
            <w:tcBorders>
              <w:top w:val="single" w:color="000000" w:sz="4" w:space="0"/>
              <w:left w:val="nil"/>
              <w:bottom w:val="single" w:color="000000" w:sz="4" w:space="0"/>
              <w:right w:val="single" w:color="000000" w:sz="8" w:space="0"/>
            </w:tcBorders>
            <w:shd w:val="clear" w:color="auto" w:fill="FFFFFF"/>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948" w:type="dxa"/>
            <w:tcBorders>
              <w:top w:val="single" w:color="000000" w:sz="4" w:space="0"/>
              <w:left w:val="single" w:color="000000" w:sz="2" w:space="0"/>
              <w:bottom w:val="single" w:color="000000" w:sz="4" w:space="0"/>
              <w:right w:val="single" w:color="000000" w:sz="8" w:space="0"/>
            </w:tcBorders>
            <w:shd w:val="clear" w:color="auto" w:fill="FFFFFF"/>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项目建设背景及项目建设需求理解充分，对需求分析准确，对项目认识深入、并结合服务需求对供应商资质、经验等特点进行详细的分析，且满足遴选要求。需包含业务需求（2分）、宣传需求（2分）、人力资源需求（2分）、宣传效果需求（2分）、项目管理需求（2分）。</w:t>
            </w:r>
          </w:p>
          <w:p>
            <w:pPr>
              <w:rPr>
                <w:rFonts w:ascii="仿宋_GB2312" w:hAnsi="仿宋_GB2312" w:eastAsia="仿宋_GB2312" w:cs="仿宋_GB2312"/>
                <w:szCs w:val="21"/>
              </w:rPr>
            </w:pPr>
            <w:r>
              <w:rPr>
                <w:rFonts w:hint="eastAsia" w:ascii="仿宋_GB2312" w:hAnsi="仿宋_GB2312" w:eastAsia="仿宋_GB2312" w:cs="仿宋_GB2312"/>
                <w:szCs w:val="21"/>
              </w:rPr>
              <w:t>完全满足上述描述的得10分，有一项未阐述或不满足上述描述的扣2分，扣完为止。</w:t>
            </w:r>
          </w:p>
        </w:tc>
      </w:tr>
      <w:tr>
        <w:tblPrEx>
          <w:tblCellMar>
            <w:top w:w="0" w:type="dxa"/>
            <w:left w:w="108" w:type="dxa"/>
            <w:bottom w:w="0" w:type="dxa"/>
            <w:right w:w="108" w:type="dxa"/>
          </w:tblCellMar>
        </w:tblPrEx>
        <w:trPr>
          <w:jc w:val="center"/>
        </w:trPr>
        <w:tc>
          <w:tcPr>
            <w:tcW w:w="1188" w:type="dxa"/>
            <w:vMerge w:val="continue"/>
            <w:tcBorders>
              <w:top w:val="nil"/>
              <w:left w:val="single" w:color="000000" w:sz="8" w:space="0"/>
              <w:bottom w:val="single" w:color="000000" w:sz="4" w:space="0"/>
              <w:right w:val="single" w:color="000000" w:sz="8" w:space="0"/>
            </w:tcBorders>
            <w:shd w:val="clear" w:color="auto" w:fill="auto"/>
            <w:vAlign w:val="center"/>
          </w:tcPr>
          <w:p>
            <w:pPr>
              <w:rPr>
                <w:rFonts w:ascii="仿宋_GB2312" w:hAnsi="宋体" w:eastAsia="仿宋_GB2312" w:cs="宋体"/>
                <w:szCs w:val="21"/>
              </w:rPr>
            </w:pPr>
          </w:p>
        </w:tc>
        <w:tc>
          <w:tcPr>
            <w:tcW w:w="2126" w:type="dxa"/>
            <w:tcBorders>
              <w:top w:val="single" w:color="000000" w:sz="4" w:space="0"/>
              <w:left w:val="nil"/>
              <w:bottom w:val="single" w:color="000000" w:sz="4" w:space="0"/>
              <w:right w:val="single" w:color="000000" w:sz="8" w:space="0"/>
            </w:tcBorders>
            <w:shd w:val="clear" w:color="auto" w:fill="FFFFFF"/>
            <w:vAlign w:val="center"/>
          </w:tcPr>
          <w:p>
            <w:pPr>
              <w:spacing w:before="100" w:after="100"/>
              <w:rPr>
                <w:rFonts w:ascii="仿宋_GB2312" w:hAnsi="宋体" w:eastAsia="仿宋_GB2312" w:cs="宋体"/>
                <w:szCs w:val="21"/>
              </w:rPr>
            </w:pPr>
            <w:r>
              <w:rPr>
                <w:rFonts w:hint="eastAsia" w:ascii="仿宋_GB2312" w:hAnsi="宋体" w:eastAsia="仿宋_GB2312"/>
                <w:szCs w:val="21"/>
              </w:rPr>
              <w:t>进度安排评价</w:t>
            </w:r>
          </w:p>
        </w:tc>
        <w:tc>
          <w:tcPr>
            <w:tcW w:w="831" w:type="dxa"/>
            <w:tcBorders>
              <w:top w:val="single" w:color="000000" w:sz="4" w:space="0"/>
              <w:left w:val="nil"/>
              <w:bottom w:val="single" w:color="000000" w:sz="4" w:space="0"/>
              <w:right w:val="single" w:color="000000" w:sz="8" w:space="0"/>
            </w:tcBorders>
            <w:shd w:val="clear" w:color="auto" w:fill="FFFFFF"/>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948" w:type="dxa"/>
            <w:tcBorders>
              <w:top w:val="single" w:color="000000" w:sz="4" w:space="0"/>
              <w:left w:val="single" w:color="000000" w:sz="2" w:space="0"/>
              <w:bottom w:val="single" w:color="000000" w:sz="4" w:space="0"/>
              <w:right w:val="single" w:color="000000" w:sz="8" w:space="0"/>
            </w:tcBorders>
            <w:shd w:val="clear" w:color="auto" w:fill="FFFFFF"/>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供应商需提供针对本项目的进度安排计划，本项内容满分10分，内容进行了详细的论述且满足需求得10分，内容虽阐述但未贴合项目实际情况或内容未包括具体实施细节及措施得5分，内容未进行阐述或不满足遴选需求得0分</w:t>
            </w:r>
          </w:p>
        </w:tc>
      </w:tr>
      <w:tr>
        <w:tblPrEx>
          <w:tblCellMar>
            <w:top w:w="0" w:type="dxa"/>
            <w:left w:w="108" w:type="dxa"/>
            <w:bottom w:w="0" w:type="dxa"/>
            <w:right w:w="108" w:type="dxa"/>
          </w:tblCellMar>
        </w:tblPrEx>
        <w:trPr>
          <w:jc w:val="center"/>
        </w:trPr>
        <w:tc>
          <w:tcPr>
            <w:tcW w:w="1188" w:type="dxa"/>
            <w:vMerge w:val="continue"/>
            <w:tcBorders>
              <w:top w:val="nil"/>
              <w:left w:val="single" w:color="000000" w:sz="8" w:space="0"/>
              <w:bottom w:val="single" w:color="000000" w:sz="4" w:space="0"/>
              <w:right w:val="single" w:color="000000" w:sz="8" w:space="0"/>
            </w:tcBorders>
            <w:shd w:val="clear" w:color="auto" w:fill="auto"/>
            <w:vAlign w:val="center"/>
          </w:tcPr>
          <w:p>
            <w:pPr>
              <w:rPr>
                <w:rFonts w:ascii="仿宋_GB2312" w:hAnsi="宋体" w:eastAsia="仿宋_GB2312" w:cs="宋体"/>
                <w:szCs w:val="21"/>
              </w:rPr>
            </w:pPr>
          </w:p>
        </w:tc>
        <w:tc>
          <w:tcPr>
            <w:tcW w:w="2126" w:type="dxa"/>
            <w:tcBorders>
              <w:top w:val="single" w:color="000000" w:sz="4" w:space="0"/>
              <w:left w:val="nil"/>
              <w:bottom w:val="single" w:color="000000" w:sz="4" w:space="0"/>
              <w:right w:val="single" w:color="000000" w:sz="8" w:space="0"/>
            </w:tcBorders>
            <w:shd w:val="clear" w:color="auto" w:fill="FFFFFF"/>
            <w:vAlign w:val="center"/>
          </w:tcPr>
          <w:p>
            <w:pPr>
              <w:spacing w:before="100" w:after="100"/>
              <w:rPr>
                <w:rFonts w:ascii="仿宋_GB2312" w:hAnsi="宋体" w:eastAsia="仿宋_GB2312" w:cs="宋体"/>
                <w:szCs w:val="21"/>
              </w:rPr>
            </w:pPr>
            <w:r>
              <w:rPr>
                <w:rFonts w:hint="eastAsia" w:ascii="仿宋_GB2312" w:hAnsi="宋体" w:eastAsia="仿宋_GB2312"/>
                <w:szCs w:val="21"/>
              </w:rPr>
              <w:t>在服务过程中配合、沟通方案评价</w:t>
            </w:r>
          </w:p>
        </w:tc>
        <w:tc>
          <w:tcPr>
            <w:tcW w:w="831" w:type="dxa"/>
            <w:tcBorders>
              <w:top w:val="single" w:color="000000" w:sz="4" w:space="0"/>
              <w:left w:val="nil"/>
              <w:bottom w:val="single" w:color="000000" w:sz="4" w:space="0"/>
              <w:right w:val="single" w:color="000000" w:sz="8" w:space="0"/>
            </w:tcBorders>
            <w:shd w:val="clear" w:color="auto" w:fill="FFFFFF"/>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948" w:type="dxa"/>
            <w:tcBorders>
              <w:top w:val="single" w:color="000000" w:sz="4" w:space="0"/>
              <w:left w:val="single" w:color="000000" w:sz="2" w:space="0"/>
              <w:bottom w:val="single" w:color="000000" w:sz="4" w:space="0"/>
              <w:right w:val="single" w:color="000000" w:sz="8" w:space="0"/>
            </w:tcBorders>
            <w:shd w:val="clear" w:color="auto" w:fill="FFFFFF"/>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供应商须提供沟通机制，内容包括①服务人员安排②沟通方案，要求有专人定期沟通，配合。</w:t>
            </w:r>
          </w:p>
          <w:p>
            <w:pPr>
              <w:rPr>
                <w:rFonts w:ascii="仿宋_GB2312" w:hAnsi="仿宋_GB2312" w:eastAsia="仿宋_GB2312" w:cs="仿宋_GB2312"/>
                <w:szCs w:val="21"/>
              </w:rPr>
            </w:pPr>
            <w:r>
              <w:rPr>
                <w:rFonts w:hint="eastAsia" w:ascii="仿宋_GB2312" w:hAnsi="仿宋_GB2312" w:eastAsia="仿宋_GB2312" w:cs="仿宋_GB2312"/>
                <w:szCs w:val="21"/>
              </w:rPr>
              <w:t>每项内容满分5分，内容进行了详细的论述且满足需求得5分，内容虽阐述但未贴合项目实际情况或内容未包括具体实施细节及措施得3分，内容未进行阐述或不满足需求得0分</w:t>
            </w:r>
          </w:p>
        </w:tc>
      </w:tr>
      <w:tr>
        <w:tblPrEx>
          <w:tblCellMar>
            <w:top w:w="0" w:type="dxa"/>
            <w:left w:w="108" w:type="dxa"/>
            <w:bottom w:w="0" w:type="dxa"/>
            <w:right w:w="108" w:type="dxa"/>
          </w:tblCellMar>
        </w:tblPrEx>
        <w:trPr>
          <w:jc w:val="center"/>
        </w:trPr>
        <w:tc>
          <w:tcPr>
            <w:tcW w:w="1188" w:type="dxa"/>
            <w:vMerge w:val="continue"/>
            <w:tcBorders>
              <w:top w:val="nil"/>
              <w:left w:val="single" w:color="000000" w:sz="8" w:space="0"/>
              <w:bottom w:val="single" w:color="000000" w:sz="4" w:space="0"/>
              <w:right w:val="single" w:color="000000" w:sz="8" w:space="0"/>
            </w:tcBorders>
            <w:shd w:val="clear" w:color="auto" w:fill="auto"/>
            <w:vAlign w:val="center"/>
          </w:tcPr>
          <w:p>
            <w:pPr>
              <w:rPr>
                <w:rFonts w:ascii="仿宋_GB2312" w:hAnsi="宋体" w:eastAsia="仿宋_GB2312" w:cs="宋体"/>
                <w:szCs w:val="21"/>
              </w:rPr>
            </w:pPr>
          </w:p>
        </w:tc>
        <w:tc>
          <w:tcPr>
            <w:tcW w:w="2126" w:type="dxa"/>
            <w:tcBorders>
              <w:top w:val="single" w:color="000000" w:sz="4" w:space="0"/>
              <w:left w:val="nil"/>
              <w:bottom w:val="single" w:color="000000" w:sz="4" w:space="0"/>
              <w:right w:val="single" w:color="000000" w:sz="8" w:space="0"/>
            </w:tcBorders>
            <w:shd w:val="clear" w:color="auto" w:fill="FFFFFF"/>
            <w:vAlign w:val="center"/>
          </w:tcPr>
          <w:p>
            <w:pPr>
              <w:spacing w:before="100" w:after="100"/>
              <w:rPr>
                <w:rFonts w:ascii="仿宋_GB2312" w:hAnsi="宋体" w:eastAsia="仿宋_GB2312" w:cs="宋体"/>
                <w:szCs w:val="21"/>
              </w:rPr>
            </w:pPr>
            <w:r>
              <w:rPr>
                <w:rFonts w:hint="eastAsia" w:ascii="仿宋_GB2312" w:hAnsi="宋体" w:eastAsia="仿宋_GB2312"/>
                <w:szCs w:val="21"/>
              </w:rPr>
              <w:t>结合本项目的实际情况，提供的合理化建议评价</w:t>
            </w:r>
          </w:p>
        </w:tc>
        <w:tc>
          <w:tcPr>
            <w:tcW w:w="831" w:type="dxa"/>
            <w:tcBorders>
              <w:top w:val="single" w:color="000000" w:sz="4" w:space="0"/>
              <w:left w:val="nil"/>
              <w:bottom w:val="single" w:color="000000" w:sz="4" w:space="0"/>
              <w:right w:val="single" w:color="000000" w:sz="8" w:space="0"/>
            </w:tcBorders>
            <w:shd w:val="clear" w:color="auto" w:fill="FFFFFF"/>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5948" w:type="dxa"/>
            <w:tcBorders>
              <w:top w:val="single" w:color="000000" w:sz="4" w:space="0"/>
              <w:left w:val="single" w:color="000000" w:sz="2" w:space="0"/>
              <w:bottom w:val="single" w:color="000000" w:sz="4" w:space="0"/>
              <w:right w:val="single" w:color="000000" w:sz="8" w:space="0"/>
            </w:tcBorders>
            <w:shd w:val="clear" w:color="auto" w:fill="FFFFFF"/>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供应商须针对本项目提供合理化建议，本项内容满分5分，建议需具有可操作性，每提供一条建议得1分，满分5分</w:t>
            </w:r>
          </w:p>
        </w:tc>
      </w:tr>
    </w:tbl>
    <w:p>
      <w:pPr>
        <w:pStyle w:val="10"/>
      </w:pPr>
    </w:p>
    <w:sectPr>
      <w:headerReference r:id="rId5" w:type="default"/>
      <w:footerReference r:id="rId6" w:type="default"/>
      <w:footerReference r:id="rId7" w:type="even"/>
      <w:pgSz w:w="11906" w:h="16838"/>
      <w:pgMar w:top="2098" w:right="1474" w:bottom="1985" w:left="1588" w:header="851" w:footer="1588" w:gutter="0"/>
      <w:cols w:space="720" w:num="1"/>
      <w:docGrid w:type="lines"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210" w:leftChars="100"/>
      <w:rPr>
        <w:rStyle w:val="15"/>
        <w:rFonts w:ascii="宋体" w:hAnsi="宋体"/>
        <w:sz w:val="28"/>
        <w:szCs w:val="28"/>
      </w:rPr>
    </w:pPr>
    <w:r>
      <w:rPr>
        <w:rStyle w:val="15"/>
        <w:rFonts w:hint="eastAsia" w:ascii="宋体" w:hAnsi="宋体"/>
        <w:sz w:val="28"/>
        <w:szCs w:val="28"/>
      </w:rPr>
      <w:t xml:space="preserve">－ </w:t>
    </w: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4</w:t>
    </w:r>
    <w:r>
      <w:rPr>
        <w:rStyle w:val="15"/>
        <w:rFonts w:ascii="宋体" w:hAnsi="宋体"/>
        <w:sz w:val="28"/>
        <w:szCs w:val="28"/>
      </w:rPr>
      <w:fldChar w:fldCharType="end"/>
    </w:r>
    <w:r>
      <w:rPr>
        <w:rStyle w:val="15"/>
        <w:rFonts w:hint="eastAsia" w:ascii="宋体" w:hAnsi="宋体"/>
        <w:sz w:val="28"/>
        <w:szCs w:val="28"/>
      </w:rPr>
      <w:t xml:space="preserve"> －</w:t>
    </w:r>
  </w:p>
  <w:p>
    <w:pPr>
      <w:pStyle w:val="7"/>
      <w:ind w:right="360" w:firstLine="360"/>
      <w:rPr>
        <w:rFonts w:ascii="宋体" w:hAnsi="宋体"/>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ascii="宋体" w:hAnsi="宋体" w:eastAsia="宋体"/>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5F9"/>
    <w:rsid w:val="002B78F7"/>
    <w:rsid w:val="007C2754"/>
    <w:rsid w:val="00BE39DE"/>
    <w:rsid w:val="00D775F9"/>
    <w:rsid w:val="00F27B93"/>
    <w:rsid w:val="01FF51E1"/>
    <w:rsid w:val="027C16B8"/>
    <w:rsid w:val="02D72661"/>
    <w:rsid w:val="03231B33"/>
    <w:rsid w:val="059E2D61"/>
    <w:rsid w:val="0702412D"/>
    <w:rsid w:val="070E5B8E"/>
    <w:rsid w:val="07465F1D"/>
    <w:rsid w:val="07A13A99"/>
    <w:rsid w:val="098D7D07"/>
    <w:rsid w:val="09914CCC"/>
    <w:rsid w:val="09D37D46"/>
    <w:rsid w:val="0A416590"/>
    <w:rsid w:val="0AE43B71"/>
    <w:rsid w:val="0C191D25"/>
    <w:rsid w:val="0CA51BF8"/>
    <w:rsid w:val="0D0F6543"/>
    <w:rsid w:val="0E0119CA"/>
    <w:rsid w:val="0E3B799D"/>
    <w:rsid w:val="0E8D58EF"/>
    <w:rsid w:val="0F1A64E0"/>
    <w:rsid w:val="10BD324F"/>
    <w:rsid w:val="10DC4F92"/>
    <w:rsid w:val="120A6163"/>
    <w:rsid w:val="126679E3"/>
    <w:rsid w:val="12C17203"/>
    <w:rsid w:val="139D30C7"/>
    <w:rsid w:val="142E7791"/>
    <w:rsid w:val="1430235A"/>
    <w:rsid w:val="143C4EDC"/>
    <w:rsid w:val="149C7B8C"/>
    <w:rsid w:val="1538070B"/>
    <w:rsid w:val="15AD71D1"/>
    <w:rsid w:val="16337DFA"/>
    <w:rsid w:val="19362169"/>
    <w:rsid w:val="1A741C95"/>
    <w:rsid w:val="1BF974E3"/>
    <w:rsid w:val="1C2D4C7B"/>
    <w:rsid w:val="1C3425A1"/>
    <w:rsid w:val="1DFE71E1"/>
    <w:rsid w:val="1E8D16A5"/>
    <w:rsid w:val="1F223576"/>
    <w:rsid w:val="20555F76"/>
    <w:rsid w:val="20AC1100"/>
    <w:rsid w:val="22A61CC2"/>
    <w:rsid w:val="23825FAA"/>
    <w:rsid w:val="23B24AE2"/>
    <w:rsid w:val="23F31321"/>
    <w:rsid w:val="251E499C"/>
    <w:rsid w:val="26D23C06"/>
    <w:rsid w:val="275A34C6"/>
    <w:rsid w:val="27FF7BCA"/>
    <w:rsid w:val="28CE464D"/>
    <w:rsid w:val="2A3B1D0C"/>
    <w:rsid w:val="2A500721"/>
    <w:rsid w:val="2A5F42E4"/>
    <w:rsid w:val="2A9E642D"/>
    <w:rsid w:val="2AAE7B1B"/>
    <w:rsid w:val="2AC64341"/>
    <w:rsid w:val="2AF74AFA"/>
    <w:rsid w:val="2C490FEF"/>
    <w:rsid w:val="2C77727F"/>
    <w:rsid w:val="2DF316F7"/>
    <w:rsid w:val="2E9A328C"/>
    <w:rsid w:val="304557D8"/>
    <w:rsid w:val="30640A4A"/>
    <w:rsid w:val="3111559E"/>
    <w:rsid w:val="31FB296F"/>
    <w:rsid w:val="33EE3601"/>
    <w:rsid w:val="340178C1"/>
    <w:rsid w:val="355255C2"/>
    <w:rsid w:val="372847D4"/>
    <w:rsid w:val="385A2AE8"/>
    <w:rsid w:val="39C809FB"/>
    <w:rsid w:val="3ABE0FD9"/>
    <w:rsid w:val="3AD10E6A"/>
    <w:rsid w:val="3B7D63DA"/>
    <w:rsid w:val="3DEF21E8"/>
    <w:rsid w:val="3E056DB6"/>
    <w:rsid w:val="3EF1169A"/>
    <w:rsid w:val="3F6810C5"/>
    <w:rsid w:val="41194345"/>
    <w:rsid w:val="414C39F0"/>
    <w:rsid w:val="439A472A"/>
    <w:rsid w:val="43A571CF"/>
    <w:rsid w:val="441C7FD3"/>
    <w:rsid w:val="45C565EC"/>
    <w:rsid w:val="47C67CFB"/>
    <w:rsid w:val="47E62066"/>
    <w:rsid w:val="4A192850"/>
    <w:rsid w:val="4A632DA1"/>
    <w:rsid w:val="4AEA342D"/>
    <w:rsid w:val="4B645C7A"/>
    <w:rsid w:val="4CBE712F"/>
    <w:rsid w:val="4CF82CB6"/>
    <w:rsid w:val="4D2C4661"/>
    <w:rsid w:val="4DE81745"/>
    <w:rsid w:val="4EC40AAC"/>
    <w:rsid w:val="4ECB28A8"/>
    <w:rsid w:val="4F353A65"/>
    <w:rsid w:val="50161CC6"/>
    <w:rsid w:val="503F55AC"/>
    <w:rsid w:val="50B2385B"/>
    <w:rsid w:val="513044BE"/>
    <w:rsid w:val="518C1080"/>
    <w:rsid w:val="524730B2"/>
    <w:rsid w:val="52FB4B21"/>
    <w:rsid w:val="53E14715"/>
    <w:rsid w:val="546365A3"/>
    <w:rsid w:val="55766852"/>
    <w:rsid w:val="559F50D6"/>
    <w:rsid w:val="58CE6FC1"/>
    <w:rsid w:val="59B60656"/>
    <w:rsid w:val="5A91404C"/>
    <w:rsid w:val="5C501E2D"/>
    <w:rsid w:val="5E2D5235"/>
    <w:rsid w:val="5E8B68CF"/>
    <w:rsid w:val="61AD053C"/>
    <w:rsid w:val="63543822"/>
    <w:rsid w:val="637D4B55"/>
    <w:rsid w:val="63E643B8"/>
    <w:rsid w:val="640E4E7E"/>
    <w:rsid w:val="64F75821"/>
    <w:rsid w:val="65586CD4"/>
    <w:rsid w:val="65FD37CF"/>
    <w:rsid w:val="66723E06"/>
    <w:rsid w:val="66B17ADD"/>
    <w:rsid w:val="672F227A"/>
    <w:rsid w:val="678720E2"/>
    <w:rsid w:val="68703912"/>
    <w:rsid w:val="6919500A"/>
    <w:rsid w:val="6A0532A1"/>
    <w:rsid w:val="6AE366DA"/>
    <w:rsid w:val="6B33079D"/>
    <w:rsid w:val="6C6966AA"/>
    <w:rsid w:val="6C992961"/>
    <w:rsid w:val="6D084F7C"/>
    <w:rsid w:val="6D441C7B"/>
    <w:rsid w:val="6D8D693E"/>
    <w:rsid w:val="6F92331A"/>
    <w:rsid w:val="70A37393"/>
    <w:rsid w:val="711E7A05"/>
    <w:rsid w:val="72372D87"/>
    <w:rsid w:val="727A6A13"/>
    <w:rsid w:val="72D72911"/>
    <w:rsid w:val="73104330"/>
    <w:rsid w:val="73CD6508"/>
    <w:rsid w:val="750F3DE0"/>
    <w:rsid w:val="7521754C"/>
    <w:rsid w:val="75FD4DF0"/>
    <w:rsid w:val="76A06818"/>
    <w:rsid w:val="77316C5C"/>
    <w:rsid w:val="773C186D"/>
    <w:rsid w:val="777A449D"/>
    <w:rsid w:val="778F3545"/>
    <w:rsid w:val="77F83326"/>
    <w:rsid w:val="78542BE7"/>
    <w:rsid w:val="78957EF8"/>
    <w:rsid w:val="79705CA0"/>
    <w:rsid w:val="79863E66"/>
    <w:rsid w:val="7A6823CB"/>
    <w:rsid w:val="7A701748"/>
    <w:rsid w:val="7A9B392D"/>
    <w:rsid w:val="7C3866D8"/>
    <w:rsid w:val="7C724BD9"/>
    <w:rsid w:val="7D7C4771"/>
    <w:rsid w:val="7E0F492A"/>
    <w:rsid w:val="7E181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textAlignment w:val="baseline"/>
    </w:pPr>
    <w:rPr>
      <w:rFonts w:ascii="Calibri" w:hAnsi="Calibri" w:eastAsia="等线" w:cs="Times New Roman"/>
      <w:kern w:val="2"/>
      <w:sz w:val="21"/>
      <w:szCs w:val="24"/>
      <w:lang w:val="en-US" w:eastAsia="zh-CN" w:bidi="ar-SA"/>
    </w:rPr>
  </w:style>
  <w:style w:type="paragraph" w:styleId="4">
    <w:name w:val="heading 2"/>
    <w:basedOn w:val="1"/>
    <w:next w:val="1"/>
    <w:unhideWhenUsed/>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480" w:firstLineChars="200"/>
    </w:pPr>
    <w:rPr>
      <w:sz w:val="24"/>
    </w:rPr>
  </w:style>
  <w:style w:type="paragraph" w:styleId="5">
    <w:name w:val="Plain Text"/>
    <w:basedOn w:val="1"/>
    <w:next w:val="1"/>
    <w:qFormat/>
    <w:uiPriority w:val="99"/>
    <w:rPr>
      <w:rFonts w:ascii="宋体" w:hAnsi="Courier New" w:cs="Courier New"/>
      <w:szCs w:val="21"/>
    </w:rPr>
  </w:style>
  <w:style w:type="paragraph" w:styleId="6">
    <w:name w:val="Body Text Indent 2"/>
    <w:basedOn w:val="1"/>
    <w:qFormat/>
    <w:uiPriority w:val="0"/>
    <w:pPr>
      <w:tabs>
        <w:tab w:val="left" w:pos="2250"/>
      </w:tabs>
      <w:spacing w:before="100" w:beforeAutospacing="1" w:line="400" w:lineRule="exact"/>
      <w:ind w:firstLine="629"/>
    </w:pPr>
    <w:rPr>
      <w:sz w:val="32"/>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9">
    <w:name w:val="Normal (Web)"/>
    <w:basedOn w:val="1"/>
    <w:unhideWhenUsed/>
    <w:qFormat/>
    <w:uiPriority w:val="99"/>
    <w:pPr>
      <w:spacing w:before="100" w:beforeAutospacing="1" w:after="100" w:afterAutospacing="1"/>
    </w:pPr>
    <w:rPr>
      <w:kern w:val="0"/>
      <w:sz w:val="24"/>
    </w:rPr>
  </w:style>
  <w:style w:type="paragraph" w:styleId="10">
    <w:name w:val="index 1"/>
    <w:basedOn w:val="1"/>
    <w:next w:val="1"/>
    <w:qFormat/>
    <w:uiPriority w:val="99"/>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basedOn w:val="13"/>
    <w:unhideWhenUsed/>
    <w:qFormat/>
    <w:uiPriority w:val="99"/>
    <w:rPr>
      <w:color w:val="0563C1" w:themeColor="hyperlink"/>
      <w:u w:val="single"/>
      <w14:textFill>
        <w14:solidFill>
          <w14:schemeClr w14:val="hlink"/>
        </w14:solidFill>
      </w14:textFill>
    </w:rPr>
  </w:style>
  <w:style w:type="character" w:customStyle="1" w:styleId="17">
    <w:name w:val="UserStyle_0"/>
    <w:link w:val="18"/>
    <w:qFormat/>
    <w:uiPriority w:val="0"/>
    <w:rPr>
      <w:rFonts w:ascii="Times New Roman" w:hAnsi="Times New Roman" w:eastAsia="宋体"/>
      <w:kern w:val="0"/>
      <w:sz w:val="20"/>
      <w:szCs w:val="20"/>
    </w:rPr>
  </w:style>
  <w:style w:type="paragraph" w:customStyle="1" w:styleId="18">
    <w:name w:val="UserStyle_1"/>
    <w:basedOn w:val="1"/>
    <w:link w:val="17"/>
    <w:qFormat/>
    <w:uiPriority w:val="0"/>
    <w:rPr>
      <w:rFonts w:ascii="Times New Roman" w:hAnsi="Times New Roman" w:eastAsia="宋体"/>
      <w:kern w:val="0"/>
      <w:sz w:val="20"/>
      <w:szCs w:val="20"/>
    </w:rPr>
  </w:style>
  <w:style w:type="character" w:customStyle="1" w:styleId="19">
    <w:name w:val="UserStyle_2"/>
    <w:link w:val="20"/>
    <w:qFormat/>
    <w:uiPriority w:val="0"/>
    <w:rPr>
      <w:rFonts w:ascii="Times New Roman" w:hAnsi="Times New Roman" w:eastAsia="宋体"/>
      <w:kern w:val="0"/>
      <w:sz w:val="20"/>
      <w:szCs w:val="20"/>
    </w:rPr>
  </w:style>
  <w:style w:type="paragraph" w:customStyle="1" w:styleId="20">
    <w:name w:val="UserStyle_3"/>
    <w:basedOn w:val="1"/>
    <w:link w:val="19"/>
    <w:qFormat/>
    <w:uiPriority w:val="0"/>
    <w:rPr>
      <w:rFonts w:ascii="Times New Roman" w:hAnsi="Times New Roman" w:eastAsia="宋体"/>
      <w:kern w:val="0"/>
      <w:sz w:val="20"/>
      <w:szCs w:val="20"/>
    </w:rPr>
  </w:style>
  <w:style w:type="character" w:customStyle="1" w:styleId="21">
    <w:name w:val="UserStyle_4"/>
    <w:qFormat/>
    <w:uiPriority w:val="0"/>
    <w:rPr>
      <w:rFonts w:ascii="Calibri" w:hAnsi="Calibri" w:eastAsia="宋体"/>
    </w:rPr>
  </w:style>
  <w:style w:type="character" w:customStyle="1" w:styleId="22">
    <w:name w:val="NormalCharacter"/>
    <w:qFormat/>
    <w:uiPriority w:val="0"/>
  </w:style>
  <w:style w:type="character" w:customStyle="1" w:styleId="23">
    <w:name w:val="font41"/>
    <w:basedOn w:val="13"/>
    <w:qFormat/>
    <w:uiPriority w:val="0"/>
    <w:rPr>
      <w:rFonts w:hint="eastAsia" w:ascii="仿宋" w:hAnsi="仿宋" w:eastAsia="仿宋" w:cs="仿宋"/>
      <w:color w:val="000000"/>
      <w:sz w:val="24"/>
      <w:szCs w:val="24"/>
      <w:u w:val="none"/>
    </w:rPr>
  </w:style>
  <w:style w:type="character" w:customStyle="1" w:styleId="24">
    <w:name w:val="font31"/>
    <w:basedOn w:val="13"/>
    <w:qFormat/>
    <w:uiPriority w:val="0"/>
    <w:rPr>
      <w:rFonts w:hint="eastAsia" w:ascii="仿宋" w:hAnsi="仿宋" w:eastAsia="仿宋" w:cs="仿宋"/>
      <w:color w:val="000000"/>
      <w:sz w:val="24"/>
      <w:szCs w:val="24"/>
      <w:u w:val="none"/>
    </w:rPr>
  </w:style>
  <w:style w:type="character" w:customStyle="1" w:styleId="25">
    <w:name w:val="font21"/>
    <w:basedOn w:val="13"/>
    <w:qFormat/>
    <w:uiPriority w:val="0"/>
    <w:rPr>
      <w:rFonts w:hint="eastAsia" w:ascii="仿宋" w:hAnsi="仿宋" w:eastAsia="仿宋" w:cs="仿宋"/>
      <w:color w:val="000000"/>
      <w:sz w:val="24"/>
      <w:szCs w:val="24"/>
      <w:u w:val="none"/>
    </w:rPr>
  </w:style>
  <w:style w:type="paragraph" w:customStyle="1" w:styleId="26">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1262</Words>
  <Characters>1290</Characters>
  <Lines>9</Lines>
  <Paragraphs>2</Paragraphs>
  <TotalTime>24</TotalTime>
  <ScaleCrop>false</ScaleCrop>
  <LinksUpToDate>false</LinksUpToDate>
  <CharactersWithSpaces>1300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2022-03-18T08:17:00Z</dcterms:created>
  <dc:creator>hp</dc:creator>
  <cp:lastModifiedBy>ff8080816dcd9c74016dcdd760dd0133</cp:lastModifiedBy>
  <dcterms:modified xsi:type="dcterms:W3CDTF">2022-03-21T07:51:24Z</dcterms:modified>
  <dc:title>附件2         2022年研究型病房动态评估项目评分标准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48006AF7EAB048CE81C207345C34321E</vt:lpwstr>
  </property>
</Properties>
</file>