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酒黄精（多花黄精）配方颗粒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Jiuhhuangjing（Duohuahuangjing）Peifangkeli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【来源】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ascii="Times New Roman" w:hAnsi="Times New Roman" w:eastAsia="宋体" w:cs="Times New Roman"/>
          <w:bCs/>
          <w:sz w:val="24"/>
          <w:szCs w:val="24"/>
        </w:rPr>
        <w:t>本品为百合科植物多花黄精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Polygonatum cyrtonema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Hua的干燥根茎</w:t>
      </w:r>
      <w:r>
        <w:rPr>
          <w:rFonts w:ascii="Times New Roman" w:hAnsi="Times New Roman" w:eastAsia="宋体" w:cs="Times New Roman"/>
          <w:sz w:val="24"/>
          <w:szCs w:val="24"/>
        </w:rPr>
        <w:t>经炮制并按标准汤剂的主要质量指标加工制成的配方颗粒。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取酒黄精（多花黄精）饮片1200g，加水煎煮，滤过，滤液浓缩成清膏（干浸膏出膏率为42%~58%），加辅料适量，干燥（或干燥，粉碎），再加入辅料适量，混匀，制粒，制成1000g，即得。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本品为黄棕色至棕色的颗粒；气微，味甜。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取本品1g，研细，加乙醇20ml，超声处理30分钟，滤过，滤液蒸干，残渣</w:t>
      </w:r>
      <w:r>
        <w:rPr>
          <w:rFonts w:ascii="Times New Roman" w:hAnsi="Times New Roman" w:eastAsia="宋体" w:cs="Times New Roman"/>
          <w:sz w:val="24"/>
          <w:szCs w:val="24"/>
        </w:rPr>
        <w:t>加水10ml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使溶解</w:t>
      </w:r>
      <w:r>
        <w:rPr>
          <w:rFonts w:ascii="Times New Roman" w:hAnsi="Times New Roman" w:eastAsia="宋体" w:cs="Times New Roman"/>
          <w:sz w:val="24"/>
          <w:szCs w:val="24"/>
        </w:rPr>
        <w:t>，用水饱和正丁醇振摇提取2次，每次20ml，合并正丁醇液，蒸干，残渣加甲醇1ml使溶解，作为供试品溶液。另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取黄精对照药材2g，</w:t>
      </w:r>
      <w:r>
        <w:rPr>
          <w:rFonts w:ascii="Times New Roman" w:hAnsi="Times New Roman" w:eastAsia="宋体" w:cs="Times New Roman"/>
          <w:sz w:val="24"/>
          <w:szCs w:val="24"/>
        </w:rPr>
        <w:t>加水50ml，煮沸30分钟，滤过，滤液蒸干，同法制成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对照药材溶液。照薄层色谱法（中国药典</w:t>
      </w:r>
      <w:r>
        <w:rPr>
          <w:rFonts w:ascii="Times New Roman" w:hAnsi="Times New Roman" w:eastAsia="宋体" w:cs="Times New Roman"/>
          <w:sz w:val="24"/>
          <w:szCs w:val="24"/>
        </w:rPr>
        <w:t>2020年版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通则0502）试验，吸取</w:t>
      </w:r>
      <w:r>
        <w:rPr>
          <w:rFonts w:ascii="Times New Roman" w:hAnsi="Times New Roman" w:eastAsia="宋体" w:cs="Times New Roman"/>
          <w:sz w:val="24"/>
          <w:szCs w:val="24"/>
        </w:rPr>
        <w:t>上述两种溶液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~5μl，分别点于同一硅胶G薄层板上，以</w:t>
      </w:r>
      <w:r>
        <w:rPr>
          <w:rFonts w:ascii="Times New Roman" w:hAnsi="Times New Roman" w:eastAsia="宋体" w:cs="Times New Roman"/>
          <w:sz w:val="24"/>
          <w:szCs w:val="24"/>
        </w:rPr>
        <w:t>三氯甲烷</w:t>
      </w:r>
      <w:r>
        <w:rPr>
          <w:rFonts w:ascii="Times New Roman" w:hAnsi="Times New Roman" w:eastAsia="MS Mincho" w:cs="Times New Roman"/>
          <w:sz w:val="24"/>
          <w:szCs w:val="24"/>
        </w:rPr>
        <w:t>−</w:t>
      </w:r>
      <w:r>
        <w:rPr>
          <w:rFonts w:ascii="Times New Roman" w:hAnsi="Times New Roman" w:eastAsia="宋体" w:cs="Times New Roman"/>
          <w:sz w:val="24"/>
          <w:szCs w:val="24"/>
        </w:rPr>
        <w:t>甲醇</w:t>
      </w:r>
      <w:r>
        <w:rPr>
          <w:rFonts w:ascii="Times New Roman" w:hAnsi="Times New Roman" w:eastAsia="MS Mincho" w:cs="Times New Roman"/>
          <w:sz w:val="24"/>
          <w:szCs w:val="24"/>
        </w:rPr>
        <w:t>−</w:t>
      </w:r>
      <w:r>
        <w:rPr>
          <w:rFonts w:ascii="Times New Roman" w:hAnsi="Times New Roman" w:eastAsia="宋体" w:cs="Times New Roman"/>
          <w:sz w:val="24"/>
          <w:szCs w:val="24"/>
        </w:rPr>
        <w:t>冰醋酸（8︰4︰1）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为展开剂，展开，取出，晾干，喷以5%磷钼酸乙醇溶液，在105</w:t>
      </w:r>
      <w:r>
        <w:rPr>
          <w:rFonts w:hint="eastAsia" w:ascii="宋体" w:hAnsi="宋体" w:eastAsia="宋体" w:cs="宋体"/>
          <w:kern w:val="0"/>
          <w:sz w:val="24"/>
          <w:szCs w:val="24"/>
        </w:rPr>
        <w:t>℃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加热至斑点显色清晰。供试品色谱中，在与对照药材色谱相应的位置上，显相同颜色的斑点。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以十八烷基硅烷键合硅胶为填充剂（柱长为100mm，内径为2.1mm，粒径为1.8µm）；以乙腈为流动相A，以0.1%磷酸溶液为流动相B，按下表中的规定进行梯度洗脱；流速为每分钟0.2ml；柱温为15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；检测波长为260nm。理论板数按5-羟甲基糠醛峰计算应不低于5000。</w:t>
      </w:r>
    </w:p>
    <w:tbl>
      <w:tblPr>
        <w:tblStyle w:val="5"/>
        <w:tblW w:w="8720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7"/>
        <w:gridCol w:w="2766"/>
        <w:gridCol w:w="2747"/>
      </w:tblGrid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76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747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</w:t>
            </w:r>
          </w:p>
        </w:tc>
        <w:tc>
          <w:tcPr>
            <w:tcW w:w="2766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</w:p>
        </w:tc>
        <w:tc>
          <w:tcPr>
            <w:tcW w:w="2747" w:type="dxa"/>
            <w:tcBorders>
              <w:top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1～8</w:t>
            </w:r>
          </w:p>
        </w:tc>
        <w:tc>
          <w:tcPr>
            <w:tcW w:w="27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0→5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100→95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8～16</w:t>
            </w:r>
          </w:p>
        </w:tc>
        <w:tc>
          <w:tcPr>
            <w:tcW w:w="276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5→12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95→88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16～25</w:t>
            </w:r>
          </w:p>
        </w:tc>
        <w:tc>
          <w:tcPr>
            <w:tcW w:w="2766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12→25</w:t>
            </w:r>
          </w:p>
        </w:tc>
        <w:tc>
          <w:tcPr>
            <w:tcW w:w="2747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88→75</w:t>
            </w:r>
          </w:p>
        </w:tc>
      </w:tr>
      <w:tr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3207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25～30</w:t>
            </w:r>
          </w:p>
        </w:tc>
        <w:tc>
          <w:tcPr>
            <w:tcW w:w="2766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25</w:t>
            </w:r>
          </w:p>
        </w:tc>
        <w:tc>
          <w:tcPr>
            <w:tcW w:w="2747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75</w:t>
            </w:r>
          </w:p>
        </w:tc>
      </w:tr>
    </w:tbl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参照物溶液的制备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取黄精对照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药材</w:t>
      </w:r>
      <w:r>
        <w:rPr>
          <w:rFonts w:ascii="Times New Roman" w:hAnsi="Times New Roman" w:eastAsia="宋体" w:cs="Times New Roman"/>
          <w:sz w:val="24"/>
          <w:szCs w:val="24"/>
        </w:rPr>
        <w:t>1g，置具塞锥形瓶中，加水20ml，加热回流30分钟，放冷，摇匀，滤过，滤液蒸干，残渣加30%甲醇适量使溶解，转移至5ml量瓶中，加30%甲醇至刻度，摇匀，滤过，取续滤液，作为对照饮片参照物溶液。另取尿苷对照品适量，精密称定，置棕色量瓶中，加水制成每1ml含尿苷50µg的溶液，作为对照品参照物溶液。再取5-羟甲基糠醛对照品适量，精密称定，加甲醇制成每1ml含0.2mg的溶液，作为对照品参照物溶液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0.4g，精密称定，置具塞锥形瓶中，精密加入30%甲醇20ml，密塞，称定重量，超声处理（功率250W，频率40kHz）30分钟，放冷，再称定重量，用30%甲醇补足减失的重量，摇匀，滤过，滤液蒸干，残渣加30%甲醇适量使溶解，转移至5ml量瓶中，加30%甲醇至刻度，摇匀，滤过，取续滤液，即得。</w:t>
      </w:r>
    </w:p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分别精密吸取</w:t>
      </w:r>
      <w:r>
        <w:rPr>
          <w:rFonts w:hint="eastAsia" w:ascii="Times New Roman" w:hAnsi="Times New Roman" w:eastAsia="宋体" w:cs="Times New Roman"/>
          <w:sz w:val="24"/>
          <w:szCs w:val="24"/>
        </w:rPr>
        <w:t>参照物</w:t>
      </w:r>
      <w:r>
        <w:rPr>
          <w:rFonts w:ascii="Times New Roman" w:hAnsi="Times New Roman" w:eastAsia="宋体" w:cs="Times New Roman"/>
          <w:sz w:val="24"/>
          <w:szCs w:val="24"/>
        </w:rPr>
        <w:t>溶液</w:t>
      </w:r>
      <w:r>
        <w:rPr>
          <w:rFonts w:hint="eastAsia" w:ascii="Times New Roman" w:hAnsi="Times New Roman" w:eastAsia="宋体" w:cs="Times New Roman"/>
          <w:sz w:val="24"/>
          <w:szCs w:val="24"/>
        </w:rPr>
        <w:t>与供试品</w:t>
      </w:r>
      <w:r>
        <w:rPr>
          <w:rFonts w:ascii="Times New Roman" w:hAnsi="Times New Roman" w:eastAsia="宋体" w:cs="Times New Roman"/>
          <w:sz w:val="24"/>
          <w:szCs w:val="24"/>
        </w:rPr>
        <w:t>溶液各1µl，注入液相色谱仪，测定，即得。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供试品特征图谱中应呈现4个特征峰，并应与对照参照物色谱中的4个特征峰的保留时间相对应，其中2个峰应分别与</w:t>
      </w:r>
      <w:r>
        <w:rPr>
          <w:rFonts w:hint="eastAsia" w:ascii="Times New Roman" w:hAnsi="Times New Roman" w:eastAsia="宋体" w:cs="Times New Roman"/>
          <w:sz w:val="24"/>
          <w:szCs w:val="24"/>
        </w:rPr>
        <w:t>相应的</w:t>
      </w:r>
      <w:r>
        <w:rPr>
          <w:rFonts w:ascii="Times New Roman" w:hAnsi="Times New Roman" w:eastAsia="宋体" w:cs="Times New Roman"/>
          <w:sz w:val="24"/>
          <w:szCs w:val="24"/>
        </w:rPr>
        <w:t>对照品参照物峰的保留时间相对应。与5-羟甲基糠醛参照物相应的峰为S峰，计算各特征峰与S峰的相对保留时间，其相对保留时间应在规定值的±10%之内。规定值为：0.75（峰2）、1.10（峰4）。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0" distR="0">
            <wp:extent cx="5275580" cy="1554480"/>
            <wp:effectExtent l="0" t="0" r="1270" b="7620"/>
            <wp:docPr id="45" name="图片 4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峰1：尿苷 峰3（S）：5-羟甲基糠醛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色谱柱：HSS T3，2.1mm×100mm，1.8µm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【检查】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【浸出物】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hint="eastAsia" w:ascii="Times New Roman" w:hAnsi="Times New Roman" w:eastAsia="宋体" w:cs="Times New Roman"/>
          <w:sz w:val="24"/>
          <w:szCs w:val="24"/>
        </w:rPr>
        <w:t>用</w:t>
      </w:r>
      <w:r>
        <w:rPr>
          <w:rFonts w:ascii="Times New Roman" w:hAnsi="Times New Roman" w:eastAsia="宋体" w:cs="Times New Roman"/>
          <w:sz w:val="24"/>
          <w:szCs w:val="24"/>
        </w:rPr>
        <w:t>乙醇作溶剂，不得少于25.0%。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【含量测定】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bCs/>
          <w:sz w:val="24"/>
          <w:szCs w:val="24"/>
        </w:rPr>
        <w:t>以两性离子亲水作用固定相为填充剂</w:t>
      </w:r>
      <w:r>
        <w:rPr>
          <w:rFonts w:ascii="Times New Roman" w:hAnsi="Times New Roman" w:eastAsia="宋体" w:cs="Times New Roman"/>
          <w:sz w:val="24"/>
          <w:szCs w:val="24"/>
        </w:rPr>
        <w:t>（柱长为100mm，内径为2.1 mm，粒径为2.7μm）；以乙腈溶液为流动相A，以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5m</w:t>
      </w:r>
      <w:r>
        <w:rPr>
          <w:rFonts w:ascii="Times New Roman" w:hAnsi="Times New Roman" w:eastAsia="宋体" w:cs="Times New Roman"/>
          <w:sz w:val="24"/>
          <w:szCs w:val="24"/>
        </w:rPr>
        <w:t>mol/L的醋酸铵溶液为流动相B，按下表中的规定进行梯度洗脱；流速为每分钟0.3ml；柱温为35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；蒸发光散射检测器检测。理论板数按果糖峰计算应不低于2500。</w:t>
      </w:r>
    </w:p>
    <w:tbl>
      <w:tblPr>
        <w:tblStyle w:val="5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3"/>
        <w:gridCol w:w="3094"/>
        <w:gridCol w:w="24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2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309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40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0～1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1～3</w:t>
            </w:r>
          </w:p>
        </w:tc>
        <w:tc>
          <w:tcPr>
            <w:tcW w:w="30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95→90</w:t>
            </w:r>
          </w:p>
        </w:tc>
        <w:tc>
          <w:tcPr>
            <w:tcW w:w="24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5→10</w:t>
            </w:r>
          </w:p>
        </w:tc>
      </w:tr>
      <w:tr>
        <w:trPr>
          <w:trHeight w:val="315" w:hRule="atLeast"/>
        </w:trPr>
        <w:tc>
          <w:tcPr>
            <w:tcW w:w="322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3～10</w:t>
            </w:r>
          </w:p>
        </w:tc>
        <w:tc>
          <w:tcPr>
            <w:tcW w:w="30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90→80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10→20</w:t>
            </w:r>
          </w:p>
        </w:tc>
      </w:tr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取果糖对照品适量，精密称定，加甲醇制成每1ml含果糖1mg的溶液，摇匀，作为对照品参照物溶液。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约0.2g，精密称定，置具塞锥形瓶中，精密加入70%甲醇25ml，密塞，称定重量，超声处理（功率250W，频率40kHz）45分钟，放冷，再称定重量，用70%甲醇补足减失的重量，摇匀，取续滤液，即得。</w:t>
      </w:r>
    </w:p>
    <w:p>
      <w:pPr>
        <w:tabs>
          <w:tab w:val="left" w:pos="5520"/>
        </w:tabs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分别精密吸取对照品溶液1µl、3µl，供试品溶液2µl，注入液相色谱仪，测定，用外标两点法对数方程计算 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本品每1g含果糖（C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）应为</w:t>
      </w:r>
      <w:r>
        <w:rPr>
          <w:rFonts w:ascii="Times New Roman" w:hAnsi="Times New Roman" w:eastAsia="宋体" w:cs="Times New Roman"/>
          <w:bCs/>
          <w:sz w:val="24"/>
          <w:szCs w:val="24"/>
        </w:rPr>
        <w:t>200.0mg~380.0mg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每1g配方颗粒相当于饮片1.2g。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密封。</w:t>
      </w:r>
    </w:p>
    <w:p>
      <w:pPr>
        <w:rPr>
          <w:rFonts w:hint="eastAsia" w:ascii="Calibri" w:hAnsi="Calibri" w:eastAsia="宋体" w:cs="Times New Roman"/>
          <w:sz w:val="24"/>
          <w:szCs w:val="24"/>
        </w:rPr>
        <w:sectPr>
          <w:headerReference r:id="rId3" w:type="default"/>
          <w:pgSz w:w="11906" w:h="16838"/>
          <w:pgMar w:top="1440" w:right="1701" w:bottom="1440" w:left="1701" w:header="851" w:footer="992" w:gutter="0"/>
          <w:cols w:space="425" w:num="1"/>
          <w:formProt w:val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3-10T15:51:18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6262D"/>
    <w:rsid w:val="29B75330"/>
    <w:rsid w:val="433F1C1C"/>
    <w:rsid w:val="4C3F422D"/>
    <w:rsid w:val="5E373E82"/>
    <w:rsid w:val="64EA3FE0"/>
    <w:rsid w:val="FB36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2021-11-30T14:53:00Z</dcterms:created>
  <dc:creator>lenovo</dc:creator>
  <cp:lastModifiedBy>kylin</cp:lastModifiedBy>
  <cp:lastPrinted>2022-03-02T10:39:00Z</cp:lastPrinted>
  <dcterms:modified xsi:type="dcterms:W3CDTF">2022-03-10T15:51:20Z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144D60E30A6B44D5B784A553D13B880E</vt:lpwstr>
  </property>
</Properties>
</file>