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Theme="majorEastAsia" w:hAnsiTheme="majorEastAsia" w:eastAsiaTheme="majorEastAsia" w:cstheme="majorEastAsia"/>
          <w:b/>
          <w:bCs/>
          <w:kern w:val="44"/>
          <w:sz w:val="28"/>
          <w:szCs w:val="44"/>
        </w:rPr>
      </w:pPr>
      <w:bookmarkStart w:id="1" w:name="_GoBack"/>
      <w:bookmarkEnd w:id="1"/>
      <w:r>
        <w:rPr>
          <w:rFonts w:hint="eastAsia" w:asciiTheme="majorEastAsia" w:hAnsiTheme="majorEastAsia" w:eastAsiaTheme="majorEastAsia" w:cstheme="majorEastAsia"/>
          <w:b/>
          <w:bCs/>
          <w:kern w:val="44"/>
          <w:sz w:val="28"/>
          <w:szCs w:val="44"/>
        </w:rPr>
        <w:t>木瓜配方颗粒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Arial Unicode MS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Arial Unicode MS" w:cs="Times New Roman"/>
          <w:b/>
          <w:bCs/>
          <w:sz w:val="24"/>
          <w:szCs w:val="24"/>
        </w:rPr>
        <w:t>Mugua Pifangkeli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【来源】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本品为</w:t>
      </w:r>
      <w:r>
        <w:rPr>
          <w:rFonts w:ascii="Times New Roman" w:hAnsi="Times New Roman" w:eastAsia="宋体" w:cs="Times New Roman"/>
          <w:bCs/>
          <w:sz w:val="24"/>
          <w:szCs w:val="24"/>
        </w:rPr>
        <w:t>蔷薇科植物贴梗海棠</w:t>
      </w:r>
      <w:r>
        <w:rPr>
          <w:rFonts w:ascii="Times New Roman" w:hAnsi="Times New Roman" w:eastAsia="宋体" w:cs="Times New Roman"/>
          <w:bCs/>
          <w:i/>
          <w:sz w:val="24"/>
          <w:szCs w:val="24"/>
        </w:rPr>
        <w:t xml:space="preserve">Chaenomelse speciosa </w:t>
      </w:r>
      <w:r>
        <w:rPr>
          <w:rFonts w:ascii="Times New Roman" w:hAnsi="Times New Roman" w:eastAsia="宋体" w:cs="Times New Roman"/>
          <w:bCs/>
          <w:sz w:val="24"/>
          <w:szCs w:val="24"/>
        </w:rPr>
        <w:t>（Sweet） Nakai的干燥近成熟果实</w:t>
      </w:r>
      <w:r>
        <w:rPr>
          <w:rFonts w:ascii="Times New Roman" w:hAnsi="Times New Roman" w:eastAsia="宋体" w:cs="Times New Roman"/>
          <w:sz w:val="24"/>
          <w:szCs w:val="24"/>
        </w:rPr>
        <w:t>经炮制并按标准汤剂的主要质量指标加工制成的配方颗粒。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color w:val="FF000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【制法】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取木瓜饮片1800g，加水煎煮，滤过，滤液浓缩成清膏（干浸膏出膏率为28%~40%），加辅料适量，干燥（或干燥，粉碎），再加辅料适量，混匀，制粒，制成1000g，即得。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【性状】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本品为浅棕红色至红棕色的颗粒；气微，味微酸、微涩。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【鉴别】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取本品0.5g，研细，加水20ml使溶解，用乙酸乙酯振摇提取二次，每次20ml，合并乙酸乙酯液，蒸干，残渣加甲醇1ml使溶解，作为供试品溶液。另取木瓜对照药材1g，加水50ml，煎煮30分钟，滤过，滤液浓缩至约20ml，同法制成对照药材溶液。照薄层色谱法（中国药典2020年版通则0502）试验，吸取供试品溶液4µl，对照药材溶液2µl，分别点于同一聚酰胺薄膜上，以甲醇-冰醋酸-水（18:1:1）为展开剂，展开，取出，晾干，置紫外光灯（365nm）下检视。供试品色谱中，在与对照药材色谱相应的位置上，显相同颜色的荧光主斑点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【特征图谱】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照高效液相色谱法（中国药典2020年版通则0512）测定。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色谱条件与系统适用性试验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以十八烷基硅烷键合硅胶为填充剂（柱长为250mm，内径为4.6mm，粒径为5µm）；以甲醇为流动相A，以0.3%醋酸溶液为流动相B，按下表中的规定进行梯度洗脱；流速为每分钟1ml；柱温为30</w:t>
      </w:r>
      <w:r>
        <w:rPr>
          <w:rFonts w:hint="eastAsia" w:ascii="宋体" w:hAnsi="宋体" w:eastAsia="宋体" w:cs="宋体"/>
          <w:sz w:val="24"/>
          <w:szCs w:val="24"/>
        </w:rPr>
        <w:t>℃</w:t>
      </w:r>
      <w:r>
        <w:rPr>
          <w:rFonts w:ascii="Times New Roman" w:hAnsi="Times New Roman" w:eastAsia="宋体" w:cs="Times New Roman"/>
          <w:sz w:val="24"/>
          <w:szCs w:val="24"/>
        </w:rPr>
        <w:t>；检测波长为290nm。理论板数按原儿茶酸峰计算应不低于5000。</w:t>
      </w:r>
    </w:p>
    <w:tbl>
      <w:tblPr>
        <w:tblStyle w:val="5"/>
        <w:tblW w:w="8522" w:type="dxa"/>
        <w:jc w:val="center"/>
        <w:tblBorders>
          <w:top w:val="single" w:color="000000" w:sz="4" w:space="0"/>
          <w:left w:val="none" w:color="auto" w:sz="0" w:space="0"/>
          <w:bottom w:val="single" w:color="000000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5"/>
        <w:gridCol w:w="2949"/>
        <w:gridCol w:w="2928"/>
      </w:tblGrid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645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时间（分钟）</w:t>
            </w:r>
          </w:p>
        </w:tc>
        <w:tc>
          <w:tcPr>
            <w:tcW w:w="2949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流动相A（%）</w:t>
            </w:r>
          </w:p>
        </w:tc>
        <w:tc>
          <w:tcPr>
            <w:tcW w:w="2928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流动相B（%）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645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0～30</w:t>
            </w:r>
          </w:p>
        </w:tc>
        <w:tc>
          <w:tcPr>
            <w:tcW w:w="2949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5→35</w:t>
            </w:r>
          </w:p>
        </w:tc>
        <w:tc>
          <w:tcPr>
            <w:tcW w:w="2928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95→65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645" w:type="dxa"/>
            <w:tcBorders>
              <w:top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30～40</w:t>
            </w:r>
          </w:p>
        </w:tc>
        <w:tc>
          <w:tcPr>
            <w:tcW w:w="2949" w:type="dxa"/>
            <w:tcBorders>
              <w:top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35→46</w:t>
            </w:r>
          </w:p>
        </w:tc>
        <w:tc>
          <w:tcPr>
            <w:tcW w:w="2928" w:type="dxa"/>
            <w:tcBorders>
              <w:top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65→54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645" w:type="dxa"/>
            <w:tcBorders>
              <w:bottom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40～50</w:t>
            </w:r>
          </w:p>
        </w:tc>
        <w:tc>
          <w:tcPr>
            <w:tcW w:w="2949" w:type="dxa"/>
            <w:tcBorders>
              <w:bottom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46→75</w:t>
            </w:r>
          </w:p>
        </w:tc>
        <w:tc>
          <w:tcPr>
            <w:tcW w:w="2928" w:type="dxa"/>
            <w:tcBorders>
              <w:bottom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54→25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645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50～55</w:t>
            </w:r>
          </w:p>
        </w:tc>
        <w:tc>
          <w:tcPr>
            <w:tcW w:w="2949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75→95</w:t>
            </w:r>
          </w:p>
        </w:tc>
        <w:tc>
          <w:tcPr>
            <w:tcW w:w="2928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25→5</w:t>
            </w:r>
          </w:p>
        </w:tc>
      </w:tr>
    </w:tbl>
    <w:p>
      <w:pPr>
        <w:adjustRightInd w:val="0"/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参照物溶液的制备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取木瓜对照药材0.5g，置具塞锥形瓶中，加入75%甲醇15ml，加热回流30分钟，放冷，摇匀，滤过，取续滤液，作为对照药材参照物溶液。另取原儿茶酸对照品、绿原酸对照品、肉桂酸对照品适量，精密称定，分别加甲醇制成每1ml含原儿茶酸100µg、绿原酸15µg、肉桂酸100µg的溶液，作为对照品参照物溶液。</w:t>
      </w:r>
    </w:p>
    <w:p>
      <w:pPr>
        <w:adjustRightInd w:val="0"/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供试品溶液的制备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取本品适量，研细，取约0.2g，精密称定，置具塞锥形瓶中，精密加入75%甲醇20ml，密塞，称定重量，加热回流30分钟，放冷，再称定重量，用75%甲醇补足减失的重量，摇匀，滤过，取续滤液，即得。</w:t>
      </w:r>
    </w:p>
    <w:p>
      <w:pPr>
        <w:adjustRightInd w:val="0"/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测定法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 </w:t>
      </w:r>
      <w:r>
        <w:rPr>
          <w:rFonts w:hint="eastAsia" w:ascii="宋体" w:hAnsi="宋体" w:eastAsia="宋体" w:cs="Times New Roman"/>
          <w:bCs/>
          <w:sz w:val="24"/>
          <w:szCs w:val="24"/>
        </w:rPr>
        <w:t>分别</w:t>
      </w:r>
      <w:r>
        <w:rPr>
          <w:rFonts w:ascii="Times New Roman" w:hAnsi="Times New Roman" w:eastAsia="宋体" w:cs="Times New Roman"/>
          <w:sz w:val="24"/>
          <w:szCs w:val="24"/>
        </w:rPr>
        <w:t>精密吸取</w:t>
      </w:r>
      <w:r>
        <w:rPr>
          <w:rFonts w:hint="eastAsia" w:ascii="Times New Roman" w:hAnsi="Times New Roman" w:eastAsia="宋体" w:cs="Times New Roman"/>
          <w:sz w:val="24"/>
          <w:szCs w:val="24"/>
        </w:rPr>
        <w:t>参照物</w:t>
      </w:r>
      <w:r>
        <w:rPr>
          <w:rFonts w:ascii="Times New Roman" w:hAnsi="Times New Roman" w:eastAsia="宋体" w:cs="Times New Roman"/>
          <w:sz w:val="24"/>
          <w:szCs w:val="24"/>
        </w:rPr>
        <w:t>溶液和</w:t>
      </w:r>
      <w:r>
        <w:rPr>
          <w:rFonts w:hint="eastAsia" w:ascii="Times New Roman" w:hAnsi="Times New Roman" w:eastAsia="宋体" w:cs="Times New Roman"/>
          <w:sz w:val="24"/>
          <w:szCs w:val="24"/>
        </w:rPr>
        <w:t>供试品</w:t>
      </w:r>
      <w:r>
        <w:rPr>
          <w:rFonts w:ascii="Times New Roman" w:hAnsi="Times New Roman" w:eastAsia="宋体" w:cs="Times New Roman"/>
          <w:sz w:val="24"/>
          <w:szCs w:val="24"/>
        </w:rPr>
        <w:t>溶液各10µl，注入液相色谱仪，测定，即得。</w:t>
      </w:r>
    </w:p>
    <w:p>
      <w:pPr>
        <w:adjustRightInd w:val="0"/>
        <w:spacing w:line="360" w:lineRule="auto"/>
        <w:ind w:firstLine="480" w:firstLineChars="200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供试品色谱中应呈现4个特征峰，并应与对照药材参照物色谱中的4个特征峰的保留时间相对应；其中3个峰应分别与相应对照品参照物峰的保留时间相对应。与原儿茶酸参照物相应的峰为S峰，计算峰1与S峰的相对保留时间，其相对保留时间应在规定值的±10%范围之内。规定值为：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0.73（峰1）。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drawing>
          <wp:inline distT="0" distB="0" distL="0" distR="0">
            <wp:extent cx="4210050" cy="1783715"/>
            <wp:effectExtent l="0" t="0" r="6350" b="6985"/>
            <wp:docPr id="1" name="图片 1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true" noChangeArrowheads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false"/>
                        </a:ext>
                      </a:extLst>
                    </a:blip>
                    <a:srcRect r="5831"/>
                    <a:stretch>
                      <a:fillRect/>
                    </a:stretch>
                  </pic:blipFill>
                  <pic:spPr>
                    <a:xfrm>
                      <a:off x="0" y="0"/>
                      <a:ext cx="4210658" cy="1784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对照特征图谱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峰2：原儿茶酸</w:t>
      </w:r>
      <w:r>
        <w:rPr>
          <w:rFonts w:hint="eastAsia" w:ascii="Times New Roman" w:hAnsi="Times New Roman" w:eastAsia="宋体" w:cs="Times New Roman"/>
          <w:sz w:val="21"/>
          <w:szCs w:val="21"/>
        </w:rPr>
        <w:t>；</w:t>
      </w:r>
      <w:r>
        <w:rPr>
          <w:rFonts w:ascii="Times New Roman" w:hAnsi="Times New Roman" w:eastAsia="宋体" w:cs="Times New Roman"/>
          <w:sz w:val="21"/>
          <w:szCs w:val="21"/>
        </w:rPr>
        <w:t>峰3：绿原酸</w:t>
      </w:r>
      <w:r>
        <w:rPr>
          <w:rFonts w:hint="eastAsia" w:ascii="Times New Roman" w:hAnsi="Times New Roman" w:eastAsia="宋体" w:cs="Times New Roman"/>
          <w:sz w:val="21"/>
          <w:szCs w:val="21"/>
        </w:rPr>
        <w:t>；</w:t>
      </w:r>
      <w:r>
        <w:rPr>
          <w:rFonts w:ascii="Times New Roman" w:hAnsi="Times New Roman" w:eastAsia="宋体" w:cs="Times New Roman"/>
          <w:sz w:val="21"/>
          <w:szCs w:val="21"/>
        </w:rPr>
        <w:t>峰4：肉桂酸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 xml:space="preserve"> 色谱柱：Phenomenex Luna Omega PS C18，4.6mm×250mm，5μm）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【检查】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应符合颗粒剂项下有关的各项规定（中国药典2020年版通则0104）。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【浸出物】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照醇溶性浸出物测定法（中国药典2020年版通则2201）项下的热浸法测定，用乙醇作溶剂，</w:t>
      </w:r>
      <w:r>
        <w:rPr>
          <w:rFonts w:ascii="Times New Roman" w:hAnsi="Times New Roman" w:eastAsia="宋体" w:cs="Times New Roman"/>
          <w:color w:val="auto"/>
          <w:sz w:val="24"/>
          <w:szCs w:val="24"/>
        </w:rPr>
        <w:t>不得少于2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5</w:t>
      </w:r>
      <w:r>
        <w:rPr>
          <w:rFonts w:ascii="Times New Roman" w:hAnsi="Times New Roman" w:eastAsia="宋体" w:cs="Times New Roman"/>
          <w:color w:val="auto"/>
          <w:sz w:val="24"/>
          <w:szCs w:val="24"/>
        </w:rPr>
        <w:t>.0%。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【含量测定】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照高效液相色谱法（中国药典2020年版通则0512）测定。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色谱条件与系统适用性试验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以十八烷基硅烷键合硅胶为填充剂（柱长为100mm，内径为2.1mm，粒径为1.8μm）；以甲醇为流动相A，以0.3%醋酸溶液为流动相B，按下表中的规定进行梯度洗脱；流速为每分钟0.3ml；柱温为30</w:t>
      </w:r>
      <w:r>
        <w:rPr>
          <w:rFonts w:hint="eastAsia" w:ascii="宋体" w:hAnsi="宋体" w:eastAsia="宋体" w:cs="宋体"/>
          <w:sz w:val="24"/>
          <w:szCs w:val="24"/>
        </w:rPr>
        <w:t>℃</w:t>
      </w:r>
      <w:r>
        <w:rPr>
          <w:rFonts w:ascii="Times New Roman" w:hAnsi="Times New Roman" w:eastAsia="宋体" w:cs="Times New Roman"/>
          <w:sz w:val="24"/>
          <w:szCs w:val="24"/>
        </w:rPr>
        <w:t>；检测波长为260nm。理论板数按原儿茶酸峰计算应不低于1500。</w:t>
      </w:r>
    </w:p>
    <w:tbl>
      <w:tblPr>
        <w:tblStyle w:val="5"/>
        <w:tblW w:w="8130" w:type="dxa"/>
        <w:jc w:val="center"/>
        <w:tblBorders>
          <w:top w:val="single" w:color="008000" w:sz="12" w:space="0"/>
          <w:left w:val="none" w:color="auto" w:sz="0" w:space="0"/>
          <w:bottom w:val="single" w:color="008000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8"/>
        <w:gridCol w:w="3107"/>
        <w:gridCol w:w="2615"/>
      </w:tblGrid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408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bookmarkStart w:id="0" w:name="_Hlk11701124"/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时间（分钟）</w:t>
            </w:r>
          </w:p>
        </w:tc>
        <w:tc>
          <w:tcPr>
            <w:tcW w:w="3107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流动相A（％）</w:t>
            </w:r>
          </w:p>
        </w:tc>
        <w:tc>
          <w:tcPr>
            <w:tcW w:w="2615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流动相B（%）</w:t>
            </w:r>
          </w:p>
        </w:tc>
      </w:tr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408" w:type="dxa"/>
            <w:tcBorders>
              <w:top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0~10</w:t>
            </w:r>
          </w:p>
        </w:tc>
        <w:tc>
          <w:tcPr>
            <w:tcW w:w="3107" w:type="dxa"/>
            <w:tcBorders>
              <w:top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5→35</w:t>
            </w:r>
          </w:p>
        </w:tc>
        <w:tc>
          <w:tcPr>
            <w:tcW w:w="2615" w:type="dxa"/>
            <w:tcBorders>
              <w:top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95→65</w:t>
            </w:r>
          </w:p>
        </w:tc>
      </w:tr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408" w:type="dxa"/>
            <w:tcBorders>
              <w:bottom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10~13</w:t>
            </w:r>
          </w:p>
        </w:tc>
        <w:tc>
          <w:tcPr>
            <w:tcW w:w="3107" w:type="dxa"/>
            <w:tcBorders>
              <w:bottom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35</w:t>
            </w:r>
          </w:p>
        </w:tc>
        <w:tc>
          <w:tcPr>
            <w:tcW w:w="2615" w:type="dxa"/>
            <w:tcBorders>
              <w:bottom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65</w:t>
            </w:r>
          </w:p>
        </w:tc>
      </w:tr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408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13~14</w:t>
            </w:r>
          </w:p>
        </w:tc>
        <w:tc>
          <w:tcPr>
            <w:tcW w:w="3107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35→5</w:t>
            </w:r>
          </w:p>
        </w:tc>
        <w:tc>
          <w:tcPr>
            <w:tcW w:w="2615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65→95</w:t>
            </w:r>
          </w:p>
        </w:tc>
      </w:tr>
      <w:bookmarkEnd w:id="0"/>
    </w:tbl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对照品溶液的制备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取原儿茶酸对照品适量，精密称定，加甲醇制成每1ml含 15μg的溶液，摇匀，即得。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供试品溶液的制备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取本品适量，研细，取约0.2g，精密称定，置具塞锥形瓶中，精密加入水20ml，密塞，称定重量，加热回流60分钟，放冷，再称定重量，用水补足减失的重量，摇匀，滤过，取续滤液，即得。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测定法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分别精密吸取对照品溶液1µ</w:t>
      </w:r>
      <w:r>
        <w:rPr>
          <w:rFonts w:ascii="Times New Roman" w:hAnsi="Times New Roman" w:eastAsia="宋体" w:cs="Times New Roman"/>
          <w:spacing w:val="4"/>
          <w:sz w:val="24"/>
          <w:szCs w:val="24"/>
        </w:rPr>
        <w:t>l</w:t>
      </w:r>
      <w:r>
        <w:rPr>
          <w:rFonts w:ascii="Times New Roman" w:hAnsi="Times New Roman" w:eastAsia="宋体" w:cs="Times New Roman"/>
          <w:sz w:val="24"/>
          <w:szCs w:val="24"/>
        </w:rPr>
        <w:t>、供试品溶液2µ</w:t>
      </w:r>
      <w:r>
        <w:rPr>
          <w:rFonts w:ascii="Times New Roman" w:hAnsi="Times New Roman" w:eastAsia="宋体" w:cs="Times New Roman"/>
          <w:spacing w:val="4"/>
          <w:sz w:val="24"/>
          <w:szCs w:val="24"/>
        </w:rPr>
        <w:t>l</w:t>
      </w:r>
      <w:r>
        <w:rPr>
          <w:rFonts w:ascii="Times New Roman" w:hAnsi="Times New Roman" w:eastAsia="宋体" w:cs="Times New Roman"/>
          <w:sz w:val="24"/>
          <w:szCs w:val="24"/>
        </w:rPr>
        <w:t>，注入液相色谱仪，测定，即得。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本品每1g 原儿茶酸（C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7</w:t>
      </w:r>
      <w:r>
        <w:rPr>
          <w:rFonts w:ascii="Times New Roman" w:hAnsi="Times New Roman" w:eastAsia="宋体" w:cs="Times New Roman"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6</w:t>
      </w:r>
      <w:r>
        <w:rPr>
          <w:rFonts w:ascii="Times New Roman" w:hAnsi="Times New Roman" w:eastAsia="宋体" w:cs="Times New Roman"/>
          <w:sz w:val="24"/>
          <w:szCs w:val="24"/>
        </w:rPr>
        <w:t>O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eastAsia="宋体" w:cs="Times New Roman"/>
          <w:sz w:val="24"/>
          <w:szCs w:val="24"/>
        </w:rPr>
        <w:t>）应为0.25mg~2.0mg。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【规格】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每1g配方颗粒相当于饮片1.8 g。</w:t>
      </w:r>
    </w:p>
    <w:p>
      <w:pPr>
        <w:spacing w:line="360" w:lineRule="auto"/>
        <w:ind w:firstLine="481" w:firstLineChars="200"/>
        <w:rPr>
          <w:rFonts w:hint="eastAsia" w:ascii="Times New Roman" w:hAnsi="Times New Roman" w:eastAsia="宋体" w:cs="Times New Roman"/>
          <w:b/>
          <w:snapToGrid w:val="0"/>
          <w:spacing w:val="6"/>
          <w:kern w:val="0"/>
          <w:sz w:val="24"/>
          <w:szCs w:val="24"/>
          <w:lang w:val="en-AU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【贮藏】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密封。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formProt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ins w:id="0" w:author="kylin" w:date="2022-03-10T15:50:43Z">
      <w:r>
        <w:rPr>
          <w:sz w:val="18"/>
        </w:rPr>
        <w:pict>
          <v:shape id="PowerPlusWaterMarkObject172335" o:spid="_x0000_s2049" o:spt="136" type="#_x0000_t136" style="position:absolute;left:0pt;height:50.1pt;width:537.15pt;mso-position-horizontal:center;mso-position-horizontal-relative:margin;mso-position-vertical:center;mso-position-vertical-relative:margin;rotation:-2949120f;z-index:-251658240;mso-width-relative:page;mso-height-relative:page;" fillcolor="#C0C0C0" filled="t" stroked="f" coordsize="21600,21600" adj="10800">
            <v:path/>
            <v:fill on="t" opacity="32768f" focussize="0,0"/>
            <v:stroke on="f"/>
            <v:imagedata o:title=""/>
            <o:lock v:ext="edit" aspectratio="t"/>
            <v:textpath on="t" fitshape="t" fitpath="t" trim="t" xscale="f" string="云南省中药配方颗粒标准公示稿" style="font-family:Microsoft YaHei;font-size:36pt;v-same-letter-heights:f;v-text-align:center;"/>
          </v:shape>
        </w:pict>
      </w:r>
    </w:ins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ylin">
    <w15:presenceInfo w15:providerId="None" w15:userId="ky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trackRevisions w:val="true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50D45"/>
    <w:rsid w:val="196723A7"/>
    <w:rsid w:val="31354516"/>
    <w:rsid w:val="57B21B1B"/>
    <w:rsid w:val="5FFF3C64"/>
    <w:rsid w:val="6A9027D9"/>
    <w:rsid w:val="6FB604F7"/>
    <w:rsid w:val="7D81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ind w:firstLine="0" w:firstLineChars="0"/>
      <w:jc w:val="center"/>
      <w:outlineLvl w:val="0"/>
    </w:pPr>
    <w:rPr>
      <w:rFonts w:cs="Times New Roman"/>
      <w:b/>
      <w:bCs/>
      <w:kern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2021-12-10T09:38:00Z</dcterms:created>
  <dc:creator>lenovo</dc:creator>
  <cp:lastModifiedBy>kylin</cp:lastModifiedBy>
  <cp:lastPrinted>2022-03-04T16:26:00Z</cp:lastPrinted>
  <dcterms:modified xsi:type="dcterms:W3CDTF">2022-03-10T15:50:45Z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  <property fmtid="{D5CDD505-2E9C-101B-9397-08002B2CF9AE}" pid="3" name="ICV">
    <vt:lpwstr>EC6EF13DE5804117994DDA054B03D083</vt:lpwstr>
  </property>
</Properties>
</file>