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cs="Times New Roman" w:eastAsiaTheme="minorEastAsia"/>
          <w:b/>
          <w:bCs/>
          <w:kern w:val="44"/>
          <w:sz w:val="28"/>
          <w:szCs w:val="28"/>
        </w:rPr>
      </w:pPr>
      <w:bookmarkStart w:id="9" w:name="_GoBack"/>
      <w:bookmarkEnd w:id="9"/>
      <w:r>
        <w:rPr>
          <w:rFonts w:hint="default" w:ascii="Times New Roman" w:hAnsi="Times New Roman" w:cs="Times New Roman" w:eastAsiaTheme="minorEastAsia"/>
          <w:b/>
          <w:bCs/>
          <w:kern w:val="44"/>
          <w:sz w:val="28"/>
          <w:szCs w:val="28"/>
        </w:rPr>
        <w:t>伸筋草配方颗粒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  <w:t>Shenjincao Peifangkeli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color w:val="333333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【来源】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EastAsia"/>
          <w:color w:val="333333"/>
          <w:sz w:val="24"/>
          <w:szCs w:val="24"/>
          <w:shd w:val="clear" w:color="auto" w:fill="FFFFFF"/>
        </w:rPr>
        <w:t>本品为石松科植物石松</w:t>
      </w:r>
      <w:r>
        <w:rPr>
          <w:rFonts w:hint="default" w:ascii="Times New Roman" w:hAnsi="Times New Roman" w:cs="Times New Roman" w:eastAsiaTheme="minorEastAsia"/>
          <w:i/>
          <w:color w:val="333333"/>
          <w:sz w:val="24"/>
          <w:szCs w:val="24"/>
          <w:shd w:val="clear" w:color="auto" w:fill="FFFFFF"/>
        </w:rPr>
        <w:t>Lycopodium japonicum</w:t>
      </w:r>
      <w:r>
        <w:rPr>
          <w:rFonts w:hint="default" w:ascii="Times New Roman" w:hAnsi="Times New Roman" w:cs="Times New Roman" w:eastAsiaTheme="minorEastAsia"/>
          <w:color w:val="333333"/>
          <w:sz w:val="24"/>
          <w:szCs w:val="24"/>
          <w:shd w:val="clear" w:color="auto" w:fill="FFFFFF"/>
        </w:rPr>
        <w:t xml:space="preserve"> Thunb.的干燥全草</w:t>
      </w:r>
      <w:bookmarkStart w:id="0" w:name="OLE_LINK42"/>
      <w:bookmarkStart w:id="1" w:name="OLE_LINK43"/>
      <w:bookmarkStart w:id="2" w:name="OLE_LINK44"/>
      <w:bookmarkStart w:id="3" w:name="OLE_LINK66"/>
      <w:r>
        <w:rPr>
          <w:rFonts w:hint="default" w:ascii="Times New Roman" w:hAnsi="Times New Roman" w:cs="Times New Roman" w:eastAsiaTheme="minorEastAsia"/>
          <w:sz w:val="24"/>
          <w:szCs w:val="24"/>
        </w:rPr>
        <w:t>经炮制并按标准汤剂的主要质量指标加工制成的配方颗粒。</w:t>
      </w:r>
      <w:bookmarkEnd w:id="0"/>
      <w:bookmarkEnd w:id="1"/>
      <w:bookmarkEnd w:id="2"/>
      <w:bookmarkEnd w:id="3"/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【制法】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取伸筋草饮片5500g，加水煎煮，滤过，滤液浓缩成清膏（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干浸膏出膏率为10%~18%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），加辅料适量，干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燥（或干燥，粉碎），再加入辅料适量，混匀，制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粒，制成1000g，即得。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【性状】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本品为浅棕黄色至黄棕色的颗粒；气微，味微苦。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【鉴别】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取本品0.5g，研细，加水10ml使溶解，用乙酸乙酯振摇提取2次，每次20ml，合并乙酸乙酯液，蒸干，残渣加甲醇1ml使溶解，作为供试品溶液。另取伸筋草对照药材1g，加水50ml，煮沸30分钟，滤过，滤液浓缩至约10ml，同法制成对照药材溶液。照薄层色谱法（中国药典2020年版通则0502）试验，吸取供试品溶液5μl、对照药材溶液10μl，分别点于同一硅胶G薄层板上，以甲苯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−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乙酸乙酯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−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甲酸（7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: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2.5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: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0.5）为展开剂，展开，取出，晾干，置紫外光灯（365nm）下检视。供试品色谱中，在与对照药材色谱相应的位置上，显相同颜色的荧光主斑点。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 xml:space="preserve">【特征图谱】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照高效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液相色谱法（中国药典2020年版通则0512）测定。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 xml:space="preserve">色谱条件与系统适用性试验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以十八烷基硅烷键合硅胶为填充剂（柱长为150mm，内径为2.1mm，粒径为1.6µm）；以乙腈为流动相A，以0.1%磷酸溶液为流动相B，按下表中的规定进行梯度洗脱；流速为每分钟0.3ml；柱温为30℃；检测波长为256nm。理论板数按峰5计算应不低于5000。</w:t>
      </w:r>
    </w:p>
    <w:tbl>
      <w:tblPr>
        <w:tblStyle w:val="4"/>
        <w:tblW w:w="8720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8"/>
        <w:gridCol w:w="3019"/>
        <w:gridCol w:w="2993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270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时间（分钟）</w:t>
            </w:r>
          </w:p>
        </w:tc>
        <w:tc>
          <w:tcPr>
            <w:tcW w:w="301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流动相A（%）</w:t>
            </w:r>
          </w:p>
        </w:tc>
        <w:tc>
          <w:tcPr>
            <w:tcW w:w="299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270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0～5</w:t>
            </w:r>
          </w:p>
        </w:tc>
        <w:tc>
          <w:tcPr>
            <w:tcW w:w="3019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0→3</w:t>
            </w:r>
          </w:p>
        </w:tc>
        <w:tc>
          <w:tcPr>
            <w:tcW w:w="2993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100→97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2708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5～6</w:t>
            </w:r>
          </w:p>
        </w:tc>
        <w:tc>
          <w:tcPr>
            <w:tcW w:w="3019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3→11</w:t>
            </w:r>
          </w:p>
        </w:tc>
        <w:tc>
          <w:tcPr>
            <w:tcW w:w="2993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97→89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708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6～13</w:t>
            </w:r>
          </w:p>
        </w:tc>
        <w:tc>
          <w:tcPr>
            <w:tcW w:w="3019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11</w:t>
            </w:r>
          </w:p>
        </w:tc>
        <w:tc>
          <w:tcPr>
            <w:tcW w:w="2993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89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08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13～18</w:t>
            </w:r>
          </w:p>
        </w:tc>
        <w:tc>
          <w:tcPr>
            <w:tcW w:w="3019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11→30</w:t>
            </w:r>
          </w:p>
        </w:tc>
        <w:tc>
          <w:tcPr>
            <w:tcW w:w="2993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89→70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08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18～22</w:t>
            </w:r>
          </w:p>
        </w:tc>
        <w:tc>
          <w:tcPr>
            <w:tcW w:w="3019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30→38</w:t>
            </w:r>
          </w:p>
        </w:tc>
        <w:tc>
          <w:tcPr>
            <w:tcW w:w="2993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70→62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08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22～25</w:t>
            </w:r>
          </w:p>
        </w:tc>
        <w:tc>
          <w:tcPr>
            <w:tcW w:w="3019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38→45</w:t>
            </w:r>
          </w:p>
        </w:tc>
        <w:tc>
          <w:tcPr>
            <w:tcW w:w="2993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62→55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08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25～27</w:t>
            </w:r>
          </w:p>
        </w:tc>
        <w:tc>
          <w:tcPr>
            <w:tcW w:w="3019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45→90</w:t>
            </w:r>
          </w:p>
        </w:tc>
        <w:tc>
          <w:tcPr>
            <w:tcW w:w="2993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55→10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08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27～29</w:t>
            </w:r>
          </w:p>
        </w:tc>
        <w:tc>
          <w:tcPr>
            <w:tcW w:w="3019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90</w:t>
            </w:r>
          </w:p>
        </w:tc>
        <w:tc>
          <w:tcPr>
            <w:tcW w:w="2993" w:type="dxa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08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29～30</w:t>
            </w:r>
          </w:p>
        </w:tc>
        <w:tc>
          <w:tcPr>
            <w:tcW w:w="3019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90→0</w:t>
            </w:r>
          </w:p>
        </w:tc>
        <w:tc>
          <w:tcPr>
            <w:tcW w:w="2993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10→100</w:t>
            </w:r>
          </w:p>
        </w:tc>
      </w:tr>
    </w:tbl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kern w:val="0"/>
          <w:sz w:val="24"/>
          <w:szCs w:val="24"/>
        </w:rPr>
      </w:pPr>
      <w:bookmarkStart w:id="4" w:name="OLE_LINK146"/>
      <w:bookmarkStart w:id="5" w:name="OLE_LINK145"/>
      <w:r>
        <w:rPr>
          <w:rFonts w:hint="default" w:ascii="Times New Roman" w:hAnsi="Times New Roman" w:cs="Times New Roman" w:eastAsiaTheme="minorEastAsia"/>
          <w:b/>
          <w:kern w:val="0"/>
          <w:sz w:val="24"/>
          <w:szCs w:val="24"/>
        </w:rPr>
        <w:t xml:space="preserve">参照物溶液的制备  </w:t>
      </w:r>
      <w:r>
        <w:rPr>
          <w:rFonts w:hint="default" w:ascii="Times New Roman" w:hAnsi="Times New Roman" w:cs="Times New Roman" w:eastAsiaTheme="minorEastAsia"/>
          <w:kern w:val="0"/>
          <w:sz w:val="24"/>
          <w:szCs w:val="24"/>
        </w:rPr>
        <w:t>取伸筋草对照药材1g，置具塞锥形瓶中，加入水25ml，加热回流60分钟，放冷，摇匀，滤过，取续滤液，作为对照药材参照物溶液。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kern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kern w:val="0"/>
          <w:sz w:val="24"/>
          <w:szCs w:val="24"/>
        </w:rPr>
        <w:t xml:space="preserve">供试品溶液的制备  </w:t>
      </w:r>
      <w:r>
        <w:rPr>
          <w:rFonts w:hint="default" w:ascii="Times New Roman" w:hAnsi="Times New Roman" w:cs="Times New Roman" w:eastAsiaTheme="minorEastAsia"/>
          <w:kern w:val="0"/>
          <w:sz w:val="24"/>
          <w:szCs w:val="24"/>
        </w:rPr>
        <w:t>取本品适量，研细，取约0.2g，精密称定，置具塞锥形瓶中，精密加入水25ml，密塞，称定重量，超声处理（功率250W，频率40kHz）60分钟，放冷，再称定重量，用水补足减失的重量，摇匀，滤过，取续滤液，即得。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 xml:space="preserve">测定法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分别精密吸取参照物溶液与供试品溶液各1µl，注入液相色谱仪，测定，即得。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供试品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色谱中应呈现6个特征峰，并应与对照药材参照物色谱中的6个特征峰相对应。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以峰5为S峰，计算各特征峰与S峰的相对保留时间，其相对保留时间应在规定值的±10%之内。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规定值为：</w:t>
      </w:r>
      <w:bookmarkStart w:id="6" w:name="OLE_LINK18"/>
      <w:bookmarkStart w:id="7" w:name="OLE_LINK17"/>
      <w:bookmarkStart w:id="8" w:name="OLE_LINK16"/>
      <w:r>
        <w:rPr>
          <w:rFonts w:hint="default" w:ascii="Times New Roman" w:hAnsi="Times New Roman" w:cs="Times New Roman" w:eastAsiaTheme="minorEastAsia"/>
          <w:sz w:val="24"/>
          <w:szCs w:val="24"/>
        </w:rPr>
        <w:t>0.74（峰2）、0.86（峰3）、0.99（峰4）、1.77（峰6）</w:t>
      </w:r>
      <w:bookmarkEnd w:id="6"/>
      <w:bookmarkEnd w:id="7"/>
      <w:bookmarkEnd w:id="8"/>
      <w:r>
        <w:rPr>
          <w:rFonts w:hint="default" w:ascii="Times New Roman" w:hAnsi="Times New Roman" w:cs="Times New Roman" w:eastAsiaTheme="minorEastAsia"/>
          <w:sz w:val="24"/>
          <w:szCs w:val="24"/>
        </w:rPr>
        <w:t>。</w:t>
      </w:r>
    </w:p>
    <w:bookmarkEnd w:id="4"/>
    <w:bookmarkEnd w:id="5"/>
    <w:p>
      <w:pPr>
        <w:widowControl/>
        <w:snapToGrid w:val="0"/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648325" cy="1819275"/>
            <wp:effectExtent l="0" t="0" r="5715" b="9525"/>
            <wp:docPr id="467" name="图片 467" descr="3批大生产颗粒对照(编号)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图片 467" descr="3批大生产颗粒对照(编号)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对照特征图谱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色谱柱：CORTECS T3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2.1mm×150mm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1.6µm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【检查】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应符合颗粒剂项下有关的各项规定（中国药典2020年版通则0104）。</w:t>
      </w:r>
    </w:p>
    <w:p>
      <w:pPr>
        <w:tabs>
          <w:tab w:val="left" w:pos="5520"/>
        </w:tabs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b/>
          <w:color w:val="FF000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 xml:space="preserve">【浸出物】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照醇溶性浸出物测定法（中国药典2020年版通则2201）项下的热浸法测定，用乙醇作溶剂，不得少于20.0%。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【含量测定】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 xml:space="preserve">色谱条件与系统适用性试验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以十八烷基硅烷键合硅胶为填充剂（柱长为100mm，内径为2.1mm，粒径为1.7µm）；以甲醇-0.01mol/L磷酸氢二钾溶液（62︰38）为流动相；流速为每分钟0.2ml；柱温为40℃；检测波长为253nm。理论板数按α-玉柏碱峰计算应不低于5000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 xml:space="preserve">对照品溶液的制备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取</w:t>
      </w:r>
      <w:r>
        <w:rPr>
          <w:rFonts w:hint="default" w:ascii="Times New Roman" w:hAnsi="Times New Roman" w:cs="Times New Roman" w:eastAsiaTheme="minorEastAsia"/>
          <w:color w:val="333333"/>
          <w:sz w:val="24"/>
          <w:szCs w:val="24"/>
          <w:shd w:val="clear" w:color="auto" w:fill="FFFFFF"/>
        </w:rPr>
        <w:t>α-玉柏碱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对照品适量，精密称定，加甲醇制成每1ml含8μg的溶液，摇匀，即得。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 xml:space="preserve">供试品溶液的制备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取本品适量，研细，取约0.5g，精密称定，置具塞锥形瓶中，精密加入70%甲醇25ml，密塞，称定重量，超声处理（</w:t>
      </w:r>
      <w:r>
        <w:rPr>
          <w:rFonts w:hint="default" w:ascii="Times New Roman" w:hAnsi="Times New Roman" w:cs="Times New Roman" w:eastAsiaTheme="minorEastAsia"/>
          <w:kern w:val="0"/>
          <w:sz w:val="24"/>
          <w:szCs w:val="24"/>
        </w:rPr>
        <w:t>功率250W，频率40kHz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）30分钟，放冷，再称定重量，用70%甲醇补足减失的重量，摇匀，滤过，取续滤液，即得。</w:t>
      </w:r>
    </w:p>
    <w:p>
      <w:pPr>
        <w:autoSpaceDE w:val="0"/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 xml:space="preserve">测定法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分别精密吸取对照品溶液与供试品溶液各2µl，注入液相色谱仪，测定，即得。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本品每1g含</w:t>
      </w:r>
      <w:r>
        <w:rPr>
          <w:rFonts w:hint="default" w:ascii="Times New Roman" w:hAnsi="Times New Roman" w:cs="Times New Roman" w:eastAsiaTheme="minorEastAsia"/>
          <w:color w:val="333333"/>
          <w:sz w:val="24"/>
          <w:szCs w:val="24"/>
          <w:shd w:val="clear" w:color="auto" w:fill="FFFFFF"/>
        </w:rPr>
        <w:t>α-玉柏碱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（C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  <w:vertAlign w:val="subscript"/>
        </w:rPr>
        <w:t>17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H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  <w:vertAlign w:val="subscript"/>
        </w:rPr>
        <w:t>26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N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O）应为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0.15mg~1.0mg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color w:val="000000"/>
          <w:sz w:val="24"/>
          <w:szCs w:val="24"/>
        </w:rPr>
        <w:t xml:space="preserve">【规格】 </w:t>
      </w:r>
      <w:r>
        <w:rPr>
          <w:rFonts w:hint="eastAsia" w:ascii="Times New Roman" w:hAnsi="Times New Roman" w:cs="Times New Roman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每1g配方颗粒相当于饮片5.5g。</w:t>
      </w:r>
    </w:p>
    <w:p>
      <w:pPr>
        <w:spacing w:line="360" w:lineRule="auto"/>
        <w:ind w:firstLine="481" w:firstLineChars="200"/>
        <w:rPr>
          <w:rFonts w:hint="default" w:ascii="Times New Roman" w:hAnsi="Times New Roman" w:cs="Times New Roman" w:eastAsiaTheme="minorEastAsia"/>
          <w:sz w:val="24"/>
          <w:szCs w:val="24"/>
        </w:rPr>
        <w:sectPr>
          <w:headerReference r:id="rId3" w:type="default"/>
          <w:pgSz w:w="11906" w:h="16838"/>
          <w:pgMar w:top="1440" w:right="1701" w:bottom="1440" w:left="1701" w:header="851" w:footer="992" w:gutter="0"/>
          <w:cols w:space="425" w:num="1"/>
          <w:formProt w:val="1"/>
          <w:docGrid w:type="lines" w:linePitch="312" w:charSpace="0"/>
        </w:sect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 xml:space="preserve">【贮藏】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密封。</w:t>
      </w:r>
    </w:p>
    <w:p>
      <w:pPr>
        <w:rPr>
          <w:rFonts w:hint="default" w:ascii="Times New Roman" w:hAnsi="Times New Roman" w:cs="Times New Roman" w:eastAsia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ins w:id="0" w:author="kylin" w:date="2022-03-10T15:50:32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371EC"/>
    <w:rsid w:val="1C7E26B9"/>
    <w:rsid w:val="267D6ED9"/>
    <w:rsid w:val="29D371EC"/>
    <w:rsid w:val="44E33DCF"/>
    <w:rsid w:val="6F70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2021-12-10T15:20:00Z</dcterms:created>
  <dc:creator>咿咿呀呀</dc:creator>
  <cp:lastModifiedBy>kylin</cp:lastModifiedBy>
  <cp:lastPrinted>2022-03-04T15:58:00Z</cp:lastPrinted>
  <dcterms:modified xsi:type="dcterms:W3CDTF">2022-03-10T15:50:34Z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7C5320A7609E43E09C377D93210DD99B</vt:lpwstr>
  </property>
</Properties>
</file>