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eastAsia" w:asciiTheme="majorEastAsia" w:hAnsiTheme="majorEastAsia" w:eastAsiaTheme="majorEastAsia" w:cstheme="majorEastAsia"/>
          <w:b/>
          <w:bCs/>
          <w:kern w:val="44"/>
          <w:sz w:val="28"/>
          <w:szCs w:val="44"/>
        </w:rPr>
      </w:pP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b/>
          <w:bCs/>
          <w:kern w:val="44"/>
          <w:sz w:val="28"/>
          <w:szCs w:val="44"/>
        </w:rPr>
        <w:t>高良姜配方颗粒</w:t>
      </w:r>
    </w:p>
    <w:p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Arial Unicode MS" w:hAnsi="Arial Unicode MS" w:eastAsia="Arial Unicode MS" w:cs="Arial Unicode MS"/>
          <w:b/>
          <w:bCs/>
          <w:sz w:val="28"/>
          <w:szCs w:val="28"/>
        </w:rPr>
      </w:pPr>
      <w:r>
        <w:rPr>
          <w:rFonts w:hint="default" w:ascii="Times New Roman" w:hAnsi="Times New Roman" w:eastAsia="Arial Unicode MS" w:cs="Times New Roman"/>
          <w:b/>
          <w:bCs/>
          <w:sz w:val="28"/>
          <w:szCs w:val="28"/>
        </w:rPr>
        <w:t>Gaoliangjiang Peifangkeli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bidi="ar"/>
        </w:rPr>
        <w:t>【</w:t>
      </w:r>
      <w:r>
        <w:rPr>
          <w:rFonts w:hint="default" w:ascii="Times New Roman" w:hAnsi="Times New Roman" w:eastAsia="宋体" w:cs="Times New Roman"/>
          <w:b/>
          <w:sz w:val="24"/>
          <w:szCs w:val="24"/>
        </w:rPr>
        <w:t>来源】</w:t>
      </w:r>
      <w:r>
        <w:rPr>
          <w:rFonts w:ascii="Times New Roman" w:hAnsi="Times New Roman" w:eastAsia="黑体" w:cs="Times New Roman"/>
          <w:b/>
          <w:sz w:val="24"/>
          <w:szCs w:val="24"/>
          <w:lang w:bidi="ar"/>
        </w:rPr>
        <w:t xml:space="preserve"> 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 w:bidi="ar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本品为姜科植物高良姜</w:t>
      </w:r>
      <w:r>
        <w:rPr>
          <w:rFonts w:ascii="Times New Roman" w:hAnsi="Times New Roman" w:eastAsia="宋体" w:cs="Times New Roman"/>
          <w:i/>
          <w:sz w:val="24"/>
          <w:szCs w:val="24"/>
          <w:lang w:bidi="ar"/>
        </w:rPr>
        <w:t xml:space="preserve">Alpinia officinarum 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Hance.的干燥根茎经炮制并按标准汤剂主要质量指标加工制成的配方颗粒。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bidi="ar"/>
        </w:rPr>
        <w:t>【制法】</w:t>
      </w:r>
      <w:r>
        <w:rPr>
          <w:rFonts w:ascii="Times New Roman" w:hAnsi="Times New Roman" w:eastAsia="黑体" w:cs="Times New Roman"/>
          <w:b/>
          <w:sz w:val="24"/>
          <w:szCs w:val="24"/>
          <w:lang w:bidi="ar"/>
        </w:rPr>
        <w:t xml:space="preserve"> 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 w:bidi="ar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取高良姜饮片5500g，加水煎煮，收集挥发油适量</w:t>
      </w:r>
      <w:r>
        <w:rPr>
          <w:rFonts w:hint="eastAsia" w:ascii="Times New Roman" w:hAnsi="Times New Roman" w:eastAsia="宋体" w:cs="Times New Roman"/>
          <w:sz w:val="24"/>
          <w:szCs w:val="24"/>
          <w:lang w:eastAsia="zh-CN" w:bidi="ar"/>
        </w:rPr>
        <w:t>（以</w:t>
      </w:r>
      <w:r>
        <w:rPr>
          <w:rFonts w:hint="default" w:ascii="Times New Roman" w:hAnsi="Times New Roman" w:eastAsia="宋体" w:cs="Times New Roman"/>
          <w:sz w:val="24"/>
          <w:szCs w:val="24"/>
          <w:lang w:eastAsia="zh-CN" w:bidi="ar"/>
        </w:rPr>
        <w:t>β</w:t>
      </w:r>
      <w:r>
        <w:rPr>
          <w:rFonts w:hint="default" w:ascii="Times New Roman" w:hAnsi="Times New Roman" w:eastAsia="宋体" w:cs="Times New Roman"/>
          <w:sz w:val="24"/>
          <w:szCs w:val="24"/>
          <w:lang w:val="en-US" w:eastAsia="zh-CN" w:bidi="ar"/>
        </w:rPr>
        <w:t>-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 w:bidi="ar"/>
        </w:rPr>
        <w:t>环糊精包合，备用</w:t>
      </w:r>
      <w:r>
        <w:rPr>
          <w:rFonts w:hint="eastAsia" w:ascii="Times New Roman" w:hAnsi="Times New Roman" w:eastAsia="宋体" w:cs="Times New Roman"/>
          <w:sz w:val="24"/>
          <w:szCs w:val="24"/>
          <w:lang w:eastAsia="zh-CN" w:bidi="ar"/>
        </w:rPr>
        <w:t>）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，滤过，滤液浓缩成清膏（干浸膏出膏率为10%~18%），</w:t>
      </w:r>
      <w:r>
        <w:rPr>
          <w:rFonts w:hint="eastAsia" w:ascii="Times New Roman" w:hAnsi="Times New Roman" w:eastAsia="宋体" w:cs="Times New Roman"/>
          <w:sz w:val="24"/>
          <w:szCs w:val="24"/>
          <w:lang w:bidi="ar"/>
        </w:rPr>
        <w:t>加辅料适量，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干燥</w:t>
      </w:r>
      <w:r>
        <w:rPr>
          <w:rFonts w:hint="eastAsia" w:ascii="Times New Roman" w:hAnsi="Times New Roman" w:eastAsia="宋体" w:cs="Times New Roman"/>
          <w:sz w:val="24"/>
          <w:szCs w:val="24"/>
          <w:lang w:bidi="ar"/>
        </w:rPr>
        <w:t>（或干燥，粉碎）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，</w:t>
      </w:r>
      <w:r>
        <w:rPr>
          <w:rFonts w:hint="eastAsia" w:ascii="Times New Roman" w:hAnsi="Times New Roman" w:eastAsia="宋体" w:cs="Times New Roman"/>
          <w:sz w:val="24"/>
          <w:szCs w:val="24"/>
          <w:lang w:bidi="ar"/>
        </w:rPr>
        <w:t>再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加入辅料适量，加入挥发油β-环糊精包合物，混匀，制粒，制成1000g，即得。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bidi="ar"/>
        </w:rPr>
        <w:t>【性状】</w:t>
      </w:r>
      <w:r>
        <w:rPr>
          <w:rFonts w:ascii="Times New Roman" w:hAnsi="Times New Roman" w:eastAsia="黑体" w:cs="Times New Roman"/>
          <w:b/>
          <w:sz w:val="24"/>
          <w:szCs w:val="24"/>
          <w:lang w:bidi="ar"/>
        </w:rPr>
        <w:t xml:space="preserve"> 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 w:bidi="ar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本品为浅棕色至红棕色的颗粒；气香，味辛辣。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bidi="ar"/>
        </w:rPr>
        <w:t>【鉴别】</w:t>
      </w:r>
      <w:r>
        <w:rPr>
          <w:rFonts w:ascii="Times New Roman" w:hAnsi="Times New Roman" w:eastAsia="黑体" w:cs="Times New Roman"/>
          <w:b/>
          <w:sz w:val="24"/>
          <w:szCs w:val="24"/>
          <w:lang w:bidi="ar"/>
        </w:rPr>
        <w:t xml:space="preserve"> 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 w:bidi="ar"/>
        </w:rPr>
        <w:t xml:space="preserve"> </w:t>
      </w:r>
      <w:r>
        <w:rPr>
          <w:rFonts w:ascii="Times New Roman" w:hAnsi="Times New Roman" w:eastAsia="宋体" w:cs="Times New Roman"/>
          <w:kern w:val="0"/>
          <w:sz w:val="24"/>
          <w:szCs w:val="24"/>
          <w:lang w:bidi="ar"/>
        </w:rPr>
        <w:t>取本品1g，研细，加乙醚30ml，加热回流30分钟，滤过，滤液挥干，残渣加乙酸乙酯1ml使溶解，作为供试品溶液。另取高良姜对照药材1g，同法制成对照药材溶液。照薄层色谱法（中国药典2020年版通则0502）试验，吸取上述两种溶液各5µl，分别点于同一硅胶G薄层板上，以环己烷-乙酸乙酯（1</w:t>
      </w:r>
      <w:r>
        <w:rPr>
          <w:rFonts w:hint="eastAsia" w:ascii="宋体" w:hAnsi="宋体" w:eastAsia="宋体" w:cs="宋体"/>
          <w:kern w:val="0"/>
          <w:sz w:val="24"/>
          <w:szCs w:val="24"/>
          <w:lang w:bidi="ar"/>
        </w:rPr>
        <w:t>∶</w:t>
      </w:r>
      <w:r>
        <w:rPr>
          <w:rFonts w:ascii="Times New Roman" w:hAnsi="Times New Roman" w:eastAsia="宋体" w:cs="Times New Roman"/>
          <w:kern w:val="0"/>
          <w:sz w:val="24"/>
          <w:szCs w:val="24"/>
          <w:lang w:bidi="ar"/>
        </w:rPr>
        <w:t>1）为展开剂，展开，取出，晾干，喷以5</w:t>
      </w:r>
      <w:r>
        <w:rPr>
          <w:rFonts w:hint="eastAsia" w:ascii="Times New Roman" w:hAnsi="Times New Roman" w:eastAsia="宋体" w:cs="Times New Roman"/>
          <w:kern w:val="0"/>
          <w:sz w:val="24"/>
          <w:szCs w:val="24"/>
          <w:lang w:val="en-US" w:eastAsia="zh-CN" w:bidi="ar"/>
        </w:rPr>
        <w:t>%</w:t>
      </w:r>
      <w:r>
        <w:rPr>
          <w:rFonts w:ascii="Times New Roman" w:hAnsi="Times New Roman" w:eastAsia="宋体" w:cs="Times New Roman"/>
          <w:kern w:val="0"/>
          <w:sz w:val="24"/>
          <w:szCs w:val="24"/>
          <w:lang w:bidi="ar"/>
        </w:rPr>
        <w:t>香草醛浓硫酸溶液，在105</w:t>
      </w:r>
      <w:r>
        <w:rPr>
          <w:rFonts w:hint="eastAsia" w:ascii="宋体" w:hAnsi="宋体" w:eastAsia="宋体" w:cs="宋体"/>
          <w:kern w:val="0"/>
          <w:sz w:val="24"/>
          <w:szCs w:val="24"/>
          <w:lang w:bidi="ar"/>
        </w:rPr>
        <w:t>℃</w:t>
      </w:r>
      <w:r>
        <w:rPr>
          <w:rFonts w:ascii="Times New Roman" w:hAnsi="Times New Roman" w:eastAsia="宋体" w:cs="Times New Roman"/>
          <w:kern w:val="0"/>
          <w:sz w:val="24"/>
          <w:szCs w:val="24"/>
          <w:lang w:bidi="ar"/>
        </w:rPr>
        <w:t>加热至斑点显色清晰。供试品色谱中，在与对照药材色谱相应的位置上，显相同颜色的斑点。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b/>
          <w:color w:val="FF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bidi="ar"/>
        </w:rPr>
        <w:t>【指纹图谱】</w:t>
      </w:r>
      <w:r>
        <w:rPr>
          <w:rFonts w:ascii="Times New Roman" w:hAnsi="Times New Roman" w:eastAsia="宋体" w:cs="Times New Roman"/>
          <w:b/>
          <w:sz w:val="24"/>
          <w:szCs w:val="24"/>
          <w:lang w:bidi="ar"/>
        </w:rPr>
        <w:t xml:space="preserve"> 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val="en-US" w:eastAsia="zh-CN" w:bidi="ar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照高效液相色谱法（中国药典2020年版通则0512）测定。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bidi="ar"/>
        </w:rPr>
        <w:t>色谱条件与系统适用性试验</w:t>
      </w:r>
      <w:r>
        <w:rPr>
          <w:rFonts w:ascii="Times New Roman" w:hAnsi="Times New Roman" w:eastAsia="黑体" w:cs="Times New Roman"/>
          <w:b/>
          <w:sz w:val="24"/>
          <w:szCs w:val="24"/>
          <w:lang w:bidi="ar"/>
        </w:rPr>
        <w:t xml:space="preserve">  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 w:bidi="ar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以十八烷基硅烷键合硅胶为填充剂（柱长为100mm，内径为2.1mm，粒径为1.8µm）；以乙腈为流动相A，以0.1%磷酸溶液为流动相B，按下表中的规定进行梯度洗脱；流速为每分钟0.3ml；柱温为30</w:t>
      </w:r>
      <w:r>
        <w:rPr>
          <w:rFonts w:hint="eastAsia" w:ascii="宋体" w:hAnsi="宋体" w:eastAsia="宋体" w:cs="宋体"/>
          <w:sz w:val="24"/>
          <w:szCs w:val="24"/>
          <w:lang w:bidi="ar"/>
        </w:rPr>
        <w:t>℃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；检测波长为215nm。理论板数按高良姜素峰计算应不低于5000。</w:t>
      </w:r>
    </w:p>
    <w:tbl>
      <w:tblPr>
        <w:tblStyle w:val="5"/>
        <w:tblW w:w="8522" w:type="dxa"/>
        <w:jc w:val="center"/>
        <w:tblBorders>
          <w:top w:val="single" w:color="auto" w:sz="12" w:space="0"/>
          <w:left w:val="none" w:color="auto" w:sz="6" w:space="0"/>
          <w:bottom w:val="single" w:color="auto" w:sz="12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6"/>
        <w:gridCol w:w="2949"/>
        <w:gridCol w:w="2927"/>
      </w:tblGrid>
      <w:tr>
        <w:tblPrEx>
          <w:tblBorders>
            <w:top w:val="single" w:color="auto" w:sz="12" w:space="0"/>
            <w:left w:val="none" w:color="auto" w:sz="6" w:space="0"/>
            <w:bottom w:val="single" w:color="auto" w:sz="12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" w:hRule="atLeast"/>
          <w:jc w:val="center"/>
        </w:trPr>
        <w:tc>
          <w:tcPr>
            <w:tcW w:w="2646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时间（分钟）</w:t>
            </w:r>
          </w:p>
        </w:tc>
        <w:tc>
          <w:tcPr>
            <w:tcW w:w="2949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流动相A（%）</w:t>
            </w:r>
          </w:p>
        </w:tc>
        <w:tc>
          <w:tcPr>
            <w:tcW w:w="2927" w:type="dxa"/>
            <w:tcBorders>
              <w:top w:val="single" w:color="auto" w:sz="12" w:space="0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流动相B（%）</w:t>
            </w:r>
          </w:p>
        </w:tc>
      </w:tr>
      <w:tr>
        <w:tblPrEx>
          <w:tblBorders>
            <w:top w:val="single" w:color="auto" w:sz="12" w:space="0"/>
            <w:left w:val="none" w:color="auto" w:sz="6" w:space="0"/>
            <w:bottom w:val="single" w:color="auto" w:sz="12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" w:hRule="atLeast"/>
          <w:jc w:val="center"/>
        </w:trPr>
        <w:tc>
          <w:tcPr>
            <w:tcW w:w="2646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0～4</w:t>
            </w:r>
          </w:p>
        </w:tc>
        <w:tc>
          <w:tcPr>
            <w:tcW w:w="2949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9→10</w:t>
            </w:r>
          </w:p>
        </w:tc>
        <w:tc>
          <w:tcPr>
            <w:tcW w:w="2927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91→90</w:t>
            </w:r>
          </w:p>
        </w:tc>
      </w:tr>
      <w:tr>
        <w:tblPrEx>
          <w:tblBorders>
            <w:top w:val="single" w:color="auto" w:sz="12" w:space="0"/>
            <w:left w:val="none" w:color="auto" w:sz="6" w:space="0"/>
            <w:bottom w:val="single" w:color="auto" w:sz="12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" w:hRule="atLeast"/>
          <w:jc w:val="center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4～6</w:t>
            </w: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10→12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90→88</w:t>
            </w:r>
          </w:p>
        </w:tc>
      </w:tr>
      <w:tr>
        <w:tblPrEx>
          <w:tblBorders>
            <w:top w:val="single" w:color="auto" w:sz="12" w:space="0"/>
            <w:left w:val="none" w:color="auto" w:sz="6" w:space="0"/>
            <w:bottom w:val="single" w:color="auto" w:sz="12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  <w:jc w:val="center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6～15</w:t>
            </w: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12→20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88→80</w:t>
            </w:r>
          </w:p>
        </w:tc>
      </w:tr>
      <w:tr>
        <w:tblPrEx>
          <w:tblBorders>
            <w:top w:val="single" w:color="auto" w:sz="12" w:space="0"/>
            <w:left w:val="none" w:color="auto" w:sz="6" w:space="0"/>
            <w:bottom w:val="single" w:color="auto" w:sz="12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15～20</w:t>
            </w: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20→30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80→70</w:t>
            </w:r>
          </w:p>
        </w:tc>
      </w:tr>
      <w:tr>
        <w:tblPrEx>
          <w:tblBorders>
            <w:top w:val="single" w:color="auto" w:sz="12" w:space="0"/>
            <w:left w:val="none" w:color="auto" w:sz="6" w:space="0"/>
            <w:bottom w:val="single" w:color="auto" w:sz="12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20～30</w:t>
            </w: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30→50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70→50</w:t>
            </w:r>
          </w:p>
        </w:tc>
      </w:tr>
      <w:tr>
        <w:tblPrEx>
          <w:tblBorders>
            <w:top w:val="single" w:color="auto" w:sz="12" w:space="0"/>
            <w:left w:val="none" w:color="auto" w:sz="6" w:space="0"/>
            <w:bottom w:val="single" w:color="auto" w:sz="12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30～32</w:t>
            </w: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50→70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50→30</w:t>
            </w:r>
          </w:p>
        </w:tc>
      </w:tr>
      <w:tr>
        <w:tblPrEx>
          <w:tblBorders>
            <w:top w:val="single" w:color="auto" w:sz="12" w:space="0"/>
            <w:left w:val="none" w:color="auto" w:sz="6" w:space="0"/>
            <w:bottom w:val="single" w:color="auto" w:sz="12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32～35</w:t>
            </w: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70→100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30→0</w:t>
            </w:r>
          </w:p>
        </w:tc>
      </w:tr>
      <w:tr>
        <w:tblPrEx>
          <w:tblBorders>
            <w:top w:val="single" w:color="auto" w:sz="12" w:space="0"/>
            <w:left w:val="none" w:color="auto" w:sz="6" w:space="0"/>
            <w:bottom w:val="single" w:color="auto" w:sz="12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26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35～39</w:t>
            </w:r>
          </w:p>
        </w:tc>
        <w:tc>
          <w:tcPr>
            <w:tcW w:w="2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100</w:t>
            </w:r>
          </w:p>
        </w:tc>
        <w:tc>
          <w:tcPr>
            <w:tcW w:w="2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auto" w:sz="12" w:space="0"/>
            <w:left w:val="none" w:color="auto" w:sz="6" w:space="0"/>
            <w:bottom w:val="single" w:color="auto" w:sz="12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  <w:jc w:val="center"/>
        </w:trPr>
        <w:tc>
          <w:tcPr>
            <w:tcW w:w="2646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39～40</w:t>
            </w:r>
          </w:p>
        </w:tc>
        <w:tc>
          <w:tcPr>
            <w:tcW w:w="2949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100→9</w:t>
            </w:r>
          </w:p>
        </w:tc>
        <w:tc>
          <w:tcPr>
            <w:tcW w:w="2927" w:type="dxa"/>
            <w:tcBorders>
              <w:top w:val="nil"/>
              <w:left w:val="nil"/>
              <w:bottom w:val="single" w:color="auto" w:sz="12" w:space="0"/>
              <w:right w:val="nil"/>
            </w:tcBorders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宋体" w:cs="Times New Roman"/>
                <w:sz w:val="21"/>
                <w:szCs w:val="21"/>
              </w:rPr>
            </w:pP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0→91</w:t>
            </w:r>
          </w:p>
        </w:tc>
      </w:tr>
    </w:tbl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bidi="ar"/>
        </w:rPr>
        <w:t>参照物溶液的制备</w:t>
      </w:r>
      <w:r>
        <w:rPr>
          <w:rFonts w:ascii="Times New Roman" w:hAnsi="Times New Roman" w:eastAsia="黑体" w:cs="Times New Roman"/>
          <w:b/>
          <w:sz w:val="24"/>
          <w:szCs w:val="24"/>
          <w:lang w:bidi="ar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取高良姜对照药材1g，置具塞锥形瓶中，加水25ml，加热</w:t>
      </w:r>
      <w:r>
        <w:rPr>
          <w:rFonts w:hint="eastAsia" w:ascii="Times New Roman" w:hAnsi="Times New Roman" w:eastAsia="宋体" w:cs="Times New Roman"/>
          <w:sz w:val="24"/>
          <w:szCs w:val="24"/>
          <w:lang w:bidi="ar"/>
        </w:rPr>
        <w:t>回流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60分钟，放冷，摇匀，滤过，取续滤液，作为对照药材参照物溶液。另取高良姜素对照品，加甲醇制成每1ml含30μg的溶液，作为对照品参照物溶液。</w:t>
      </w:r>
    </w:p>
    <w:p>
      <w:pPr>
        <w:adjustRightInd w:val="0"/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bidi="ar"/>
        </w:rPr>
        <w:t>供试品溶液的制备</w:t>
      </w:r>
      <w:r>
        <w:rPr>
          <w:rFonts w:ascii="Times New Roman" w:hAnsi="Times New Roman" w:eastAsia="黑体" w:cs="Times New Roman"/>
          <w:b/>
          <w:sz w:val="24"/>
          <w:szCs w:val="24"/>
          <w:lang w:bidi="ar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取本品适量，研细，取约0.5g，精密称定，置具塞锥形瓶中，精密加入70%甲醇25ml，密塞，称定重量，超声处理（功率250W，频率40kHz）60分钟，放冷，再称定重量，用70%甲醇补足减失的重量，摇匀，滤过，取续滤液，即得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bidi="ar"/>
        </w:rPr>
        <w:t>测定法</w:t>
      </w:r>
      <w:r>
        <w:rPr>
          <w:rFonts w:ascii="Times New Roman" w:hAnsi="Times New Roman" w:eastAsia="黑体" w:cs="Times New Roman"/>
          <w:b/>
          <w:sz w:val="24"/>
          <w:szCs w:val="24"/>
          <w:lang w:bidi="ar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分别精密吸取参照物溶液与供试品溶液各1µl，注入液相色谱仪，测定，即得。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  <w:highlight w:val="yellow"/>
        </w:rPr>
      </w:pPr>
      <w:r>
        <w:rPr>
          <w:rFonts w:ascii="Times New Roman" w:hAnsi="Times New Roman" w:eastAsia="宋体" w:cs="Times New Roman"/>
          <w:sz w:val="24"/>
          <w:szCs w:val="24"/>
          <w:lang w:bidi="ar"/>
        </w:rPr>
        <w:t>供试品色谱中应呈现12个共有峰，并应与对照药材参照物色谱12个峰的保留时间相对应；其中峰</w:t>
      </w:r>
      <w:r>
        <w:rPr>
          <w:rFonts w:hint="eastAsia" w:ascii="Times New Roman" w:hAnsi="Times New Roman" w:eastAsia="宋体" w:cs="Times New Roman"/>
          <w:sz w:val="24"/>
          <w:szCs w:val="24"/>
          <w:lang w:bidi="ar"/>
        </w:rPr>
        <w:t>7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应与高良姜素对照品参照物色谱峰的保留时间相对应。</w:t>
      </w:r>
      <w:r>
        <w:rPr>
          <w:rFonts w:ascii="Times New Roman" w:hAnsi="Times New Roman" w:eastAsia="宋体" w:cs="Times New Roman"/>
          <w:color w:val="000000"/>
          <w:sz w:val="24"/>
          <w:szCs w:val="24"/>
          <w:lang w:bidi="ar"/>
        </w:rPr>
        <w:t>按中药色谱指纹图谱相似度评价系统计算，采用Mark峰匹配，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供试品指纹图谱与对照指纹图谱的相似度不得低于0.90。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Times New Roman" w:eastAsia="宋体" w:cs="Times New Roman"/>
          <w:color w:val="FF0000"/>
          <w:szCs w:val="21"/>
        </w:rPr>
        <w:drawing>
          <wp:inline distT="0" distB="0" distL="114300" distR="114300">
            <wp:extent cx="5275580" cy="1700530"/>
            <wp:effectExtent l="0" t="0" r="1270" b="0"/>
            <wp:docPr id="1" name="图片 1" descr="IMG_256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true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701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对照指纹图谱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峰2：原矢车菊素B2</w:t>
      </w:r>
      <w:r>
        <w:rPr>
          <w:rFonts w:hint="eastAsia" w:ascii="Times New Roman" w:hAnsi="Times New Roman" w:eastAsia="宋体" w:cs="Times New Roman"/>
          <w:sz w:val="21"/>
          <w:szCs w:val="21"/>
        </w:rPr>
        <w:t>；</w:t>
      </w:r>
      <w:r>
        <w:rPr>
          <w:rFonts w:ascii="Times New Roman" w:hAnsi="Times New Roman" w:eastAsia="宋体" w:cs="Times New Roman"/>
          <w:sz w:val="21"/>
          <w:szCs w:val="21"/>
        </w:rPr>
        <w:t>峰3：表儿茶素</w:t>
      </w:r>
      <w:r>
        <w:rPr>
          <w:rFonts w:hint="eastAsia" w:ascii="Times New Roman" w:hAnsi="Times New Roman" w:eastAsia="宋体" w:cs="Times New Roman"/>
          <w:sz w:val="21"/>
          <w:szCs w:val="21"/>
        </w:rPr>
        <w:t>；</w:t>
      </w:r>
      <w:r>
        <w:rPr>
          <w:rFonts w:ascii="Times New Roman" w:hAnsi="Times New Roman" w:eastAsia="宋体" w:cs="Times New Roman"/>
          <w:sz w:val="21"/>
          <w:szCs w:val="21"/>
        </w:rPr>
        <w:t>峰6：乔松素</w:t>
      </w:r>
      <w:r>
        <w:rPr>
          <w:rFonts w:hint="eastAsia" w:ascii="Times New Roman" w:hAnsi="Times New Roman" w:eastAsia="宋体" w:cs="Times New Roman"/>
          <w:sz w:val="21"/>
          <w:szCs w:val="21"/>
        </w:rPr>
        <w:t>；</w:t>
      </w:r>
      <w:r>
        <w:rPr>
          <w:rFonts w:ascii="Times New Roman" w:hAnsi="Times New Roman" w:eastAsia="宋体" w:cs="Times New Roman"/>
          <w:sz w:val="21"/>
          <w:szCs w:val="21"/>
        </w:rPr>
        <w:t>峰7（S）：高良姜素</w:t>
      </w:r>
      <w:r>
        <w:rPr>
          <w:rFonts w:hint="eastAsia" w:ascii="Times New Roman" w:hAnsi="Times New Roman" w:eastAsia="宋体" w:cs="Times New Roman"/>
          <w:sz w:val="21"/>
          <w:szCs w:val="21"/>
        </w:rPr>
        <w:t>；</w:t>
      </w:r>
      <w:r>
        <w:rPr>
          <w:rFonts w:ascii="Times New Roman" w:hAnsi="Times New Roman" w:eastAsia="宋体" w:cs="Times New Roman"/>
          <w:sz w:val="21"/>
          <w:szCs w:val="21"/>
        </w:rPr>
        <w:t>峰9：高良姜素-3-甲醚</w:t>
      </w:r>
    </w:p>
    <w:p>
      <w:pPr>
        <w:spacing w:line="360" w:lineRule="auto"/>
        <w:jc w:val="center"/>
        <w:rPr>
          <w:rFonts w:ascii="Times New Roman" w:hAnsi="Times New Roman" w:eastAsia="宋体" w:cs="Times New Roman"/>
          <w:sz w:val="21"/>
          <w:szCs w:val="21"/>
        </w:rPr>
      </w:pPr>
      <w:r>
        <w:rPr>
          <w:rFonts w:ascii="Times New Roman" w:hAnsi="Times New Roman" w:eastAsia="宋体" w:cs="Times New Roman"/>
          <w:sz w:val="21"/>
          <w:szCs w:val="21"/>
        </w:rPr>
        <w:t>色谱柱：Eclipse Plus C18，2.1mm×100mm，1.8µm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bidi="ar"/>
        </w:rPr>
        <w:t>【检查】</w:t>
      </w:r>
      <w:r>
        <w:rPr>
          <w:rFonts w:ascii="Times New Roman" w:hAnsi="Times New Roman" w:eastAsia="黑体" w:cs="Times New Roman"/>
          <w:b/>
          <w:sz w:val="24"/>
          <w:szCs w:val="24"/>
          <w:lang w:bidi="ar"/>
        </w:rPr>
        <w:t xml:space="preserve"> 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 w:bidi="ar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应符合颗粒剂项下有关的各项规定（中国药典2020年版通则0104）。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bidi="ar"/>
        </w:rPr>
        <w:t>【浸出物】</w:t>
      </w:r>
      <w:r>
        <w:rPr>
          <w:rFonts w:ascii="Times New Roman" w:hAnsi="Times New Roman" w:eastAsia="黑体" w:cs="Times New Roman"/>
          <w:b/>
          <w:sz w:val="24"/>
          <w:szCs w:val="24"/>
          <w:lang w:bidi="ar"/>
        </w:rPr>
        <w:t xml:space="preserve"> 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 w:bidi="ar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照醇溶性浸出物测定法（中国药典2020年版通则2201）项下的热浸法测定，用乙醇作溶剂，不得少于20.0%。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bidi="ar"/>
        </w:rPr>
        <w:t>【含量测定】</w:t>
      </w:r>
      <w:r>
        <w:rPr>
          <w:rFonts w:ascii="Times New Roman" w:hAnsi="Times New Roman" w:eastAsia="黑体" w:cs="Times New Roman"/>
          <w:b/>
          <w:sz w:val="24"/>
          <w:szCs w:val="24"/>
          <w:lang w:bidi="ar"/>
        </w:rPr>
        <w:t xml:space="preserve"> 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 w:bidi="ar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bidi="ar"/>
        </w:rPr>
        <w:t>挥发油</w:t>
      </w:r>
      <w:r>
        <w:rPr>
          <w:rFonts w:ascii="Times New Roman" w:hAnsi="Times New Roman" w:eastAsia="宋体" w:cs="Times New Roman"/>
          <w:b/>
          <w:sz w:val="24"/>
          <w:szCs w:val="24"/>
          <w:lang w:bidi="ar"/>
        </w:rPr>
        <w:t xml:space="preserve"> </w:t>
      </w:r>
      <w:r>
        <w:rPr>
          <w:rFonts w:hint="eastAsia" w:ascii="Times New Roman" w:hAnsi="Times New Roman" w:eastAsia="宋体" w:cs="Times New Roman"/>
          <w:b/>
          <w:sz w:val="24"/>
          <w:szCs w:val="24"/>
          <w:lang w:bidi="ar"/>
        </w:rPr>
        <w:t xml:space="preserve"> </w:t>
      </w:r>
      <w:r>
        <w:rPr>
          <w:rFonts w:ascii="Times New Roman" w:hAnsi="Times New Roman" w:eastAsia="宋体" w:cs="Times New Roman"/>
          <w:kern w:val="0"/>
          <w:sz w:val="24"/>
          <w:szCs w:val="24"/>
          <w:lang w:bidi="ar"/>
        </w:rPr>
        <w:t>照挥发油测定法（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中国药典2020年版通则</w:t>
      </w:r>
      <w:r>
        <w:rPr>
          <w:rFonts w:ascii="Times New Roman" w:hAnsi="Times New Roman" w:eastAsia="宋体" w:cs="Times New Roman"/>
          <w:kern w:val="0"/>
          <w:sz w:val="24"/>
          <w:szCs w:val="24"/>
          <w:lang w:bidi="ar"/>
        </w:rPr>
        <w:t>2204）测定。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kern w:val="0"/>
          <w:sz w:val="24"/>
          <w:szCs w:val="24"/>
          <w:lang w:bidi="ar"/>
        </w:rPr>
        <w:t>本品含挥发油应为0.06%~0.40%（ml/g）。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bidi="ar"/>
        </w:rPr>
        <w:t>高良姜素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  <w:lang w:bidi="ar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照高效液相色谱法（中国药典2020年版通则0512）测定。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bidi="ar"/>
        </w:rPr>
        <w:t>色谱条件与系统适用性试验</w:t>
      </w:r>
      <w:r>
        <w:rPr>
          <w:rFonts w:ascii="Times New Roman" w:hAnsi="Times New Roman" w:eastAsia="黑体" w:cs="Times New Roman"/>
          <w:b/>
          <w:sz w:val="24"/>
          <w:szCs w:val="24"/>
          <w:lang w:bidi="ar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以十八烷基硅烷键合硅胶为填充剂（柱长为100mm，内径为2.1mm，粒径为1.9μm）；以甲醇-0.2%磷酸溶液（55</w:t>
      </w:r>
      <w:r>
        <w:rPr>
          <w:rFonts w:hint="eastAsia" w:ascii="Times New Roman" w:hAnsi="Times New Roman" w:eastAsia="宋体" w:cs="Times New Roman"/>
          <w:sz w:val="24"/>
          <w:szCs w:val="24"/>
          <w:lang w:eastAsia="zh-CN" w:bidi="ar"/>
        </w:rPr>
        <w:t>∶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45）为流动相；流速为每分钟0.3ml；柱温为30</w:t>
      </w:r>
      <w:r>
        <w:rPr>
          <w:rFonts w:hint="eastAsia" w:ascii="宋体" w:hAnsi="宋体" w:eastAsia="宋体" w:cs="宋体"/>
          <w:sz w:val="24"/>
          <w:szCs w:val="24"/>
          <w:lang w:bidi="ar"/>
        </w:rPr>
        <w:t>℃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；检测波长为266nm。理论板数按高良姜素峰计算应不低于6000。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  <w:lang w:bidi="ar"/>
        </w:rPr>
        <w:t>对照品溶液的制备</w:t>
      </w:r>
      <w:r>
        <w:rPr>
          <w:rFonts w:ascii="Times New Roman" w:hAnsi="Times New Roman" w:eastAsia="黑体" w:cs="Times New Roman"/>
          <w:b/>
          <w:sz w:val="24"/>
          <w:szCs w:val="24"/>
          <w:lang w:bidi="ar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取高良姜素对照品适量，精密称定，加甲醇制成每1ml含30μg的溶液，即得。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  <w:lang w:bidi="ar"/>
        </w:rPr>
        <w:t>供试品溶液的制备</w:t>
      </w:r>
      <w:r>
        <w:rPr>
          <w:rFonts w:ascii="Times New Roman" w:hAnsi="Times New Roman" w:eastAsia="黑体" w:cs="Times New Roman"/>
          <w:b/>
          <w:sz w:val="24"/>
          <w:szCs w:val="24"/>
          <w:lang w:bidi="ar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取本品适量，研细，取约0.2g，精密称定，置具塞锥形瓶中，精密加入甲醇25ml，密塞，称定重量，超声处理（功率250W，频率40kHz）30分钟，放冷，再称定重量，用甲醇补足减失的重量，摇匀，滤过，取续滤液，即得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b/>
          <w:bCs/>
          <w:sz w:val="24"/>
          <w:szCs w:val="24"/>
          <w:lang w:bidi="ar"/>
        </w:rPr>
        <w:t>测定法</w:t>
      </w:r>
      <w:r>
        <w:rPr>
          <w:rFonts w:ascii="Times New Roman" w:hAnsi="Times New Roman" w:eastAsia="黑体" w:cs="Times New Roman"/>
          <w:b/>
          <w:sz w:val="24"/>
          <w:szCs w:val="24"/>
          <w:lang w:bidi="ar"/>
        </w:rPr>
        <w:t xml:space="preserve">  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分别精密吸取对照品溶液与供试品溶液各1µl，注入液相色谱仪，测定，即得。</w:t>
      </w:r>
    </w:p>
    <w:p>
      <w:pPr>
        <w:spacing w:line="360" w:lineRule="auto"/>
        <w:ind w:firstLine="480" w:firstLineChars="200"/>
        <w:rPr>
          <w:rFonts w:ascii="Times New Roman" w:hAnsi="Times New Roman" w:eastAsia="宋体" w:cs="Times New Roman"/>
          <w:sz w:val="24"/>
          <w:szCs w:val="24"/>
        </w:rPr>
      </w:pPr>
      <w:r>
        <w:rPr>
          <w:rFonts w:ascii="Times New Roman" w:hAnsi="Times New Roman" w:eastAsia="宋体" w:cs="Times New Roman"/>
          <w:sz w:val="24"/>
          <w:szCs w:val="24"/>
          <w:lang w:bidi="ar"/>
        </w:rPr>
        <w:t>本品每1g含高良姜素（C</w:t>
      </w:r>
      <w:r>
        <w:rPr>
          <w:rFonts w:ascii="Times New Roman" w:hAnsi="Times New Roman" w:eastAsia="宋体" w:cs="Times New Roman"/>
          <w:sz w:val="24"/>
          <w:szCs w:val="24"/>
          <w:vertAlign w:val="subscript"/>
          <w:lang w:bidi="ar"/>
        </w:rPr>
        <w:t>15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H</w:t>
      </w:r>
      <w:r>
        <w:rPr>
          <w:rFonts w:ascii="Times New Roman" w:hAnsi="Times New Roman" w:eastAsia="宋体" w:cs="Times New Roman"/>
          <w:sz w:val="24"/>
          <w:szCs w:val="24"/>
          <w:vertAlign w:val="subscript"/>
          <w:lang w:bidi="ar"/>
        </w:rPr>
        <w:t>10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O</w:t>
      </w:r>
      <w:r>
        <w:rPr>
          <w:rFonts w:ascii="Times New Roman" w:hAnsi="Times New Roman" w:eastAsia="宋体" w:cs="Times New Roman"/>
          <w:sz w:val="24"/>
          <w:szCs w:val="24"/>
          <w:vertAlign w:val="subscript"/>
          <w:lang w:bidi="ar"/>
        </w:rPr>
        <w:t>5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）</w:t>
      </w:r>
      <w:r>
        <w:rPr>
          <w:rFonts w:ascii="Times New Roman" w:hAnsi="Times New Roman" w:eastAsia="宋体" w:cs="Times New Roman"/>
          <w:color w:val="000000"/>
          <w:sz w:val="24"/>
          <w:szCs w:val="24"/>
          <w:lang w:bidi="ar"/>
        </w:rPr>
        <w:t>应为1.0mg~7.0mg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。</w:t>
      </w:r>
    </w:p>
    <w:p>
      <w:pPr>
        <w:spacing w:line="360" w:lineRule="auto"/>
        <w:ind w:firstLine="481" w:firstLineChars="200"/>
        <w:rPr>
          <w:rFonts w:ascii="Times New Roman" w:hAnsi="Times New Roman" w:eastAsia="宋体" w:cs="Times New Roman"/>
          <w:color w:val="00000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bidi="ar"/>
        </w:rPr>
        <w:t>【规格】</w:t>
      </w:r>
      <w:r>
        <w:rPr>
          <w:rFonts w:ascii="Times New Roman" w:hAnsi="Times New Roman" w:eastAsia="黑体" w:cs="Times New Roman"/>
          <w:b/>
          <w:color w:val="000000"/>
          <w:sz w:val="24"/>
          <w:szCs w:val="24"/>
          <w:lang w:bidi="ar"/>
        </w:rPr>
        <w:t xml:space="preserve"> </w:t>
      </w:r>
      <w:r>
        <w:rPr>
          <w:rFonts w:hint="eastAsia" w:ascii="Times New Roman" w:hAnsi="Times New Roman" w:eastAsia="黑体" w:cs="Times New Roman"/>
          <w:b/>
          <w:color w:val="000000"/>
          <w:sz w:val="24"/>
          <w:szCs w:val="24"/>
          <w:lang w:val="en-US" w:eastAsia="zh-CN" w:bidi="ar"/>
        </w:rPr>
        <w:t xml:space="preserve"> </w:t>
      </w:r>
      <w:r>
        <w:rPr>
          <w:rFonts w:ascii="Times New Roman" w:hAnsi="Times New Roman" w:eastAsia="宋体" w:cs="Times New Roman"/>
          <w:color w:val="000000"/>
          <w:sz w:val="24"/>
          <w:szCs w:val="24"/>
          <w:lang w:bidi="ar"/>
        </w:rPr>
        <w:t>每1g配方颗粒相当于饮片5.5g。</w:t>
      </w:r>
    </w:p>
    <w:p>
      <w:pPr>
        <w:spacing w:line="360" w:lineRule="auto"/>
        <w:ind w:firstLine="481" w:firstLineChars="200"/>
        <w:rPr>
          <w:rFonts w:hint="eastAsia" w:ascii="Times New Roman" w:hAnsi="Times New Roman" w:eastAsia="宋体" w:cs="Times New Roman"/>
          <w:b/>
          <w:snapToGrid w:val="0"/>
          <w:spacing w:val="6"/>
          <w:kern w:val="0"/>
          <w:sz w:val="24"/>
          <w:szCs w:val="24"/>
          <w:lang w:val="en-AU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bidi="ar"/>
        </w:rPr>
        <w:t>【贮藏】</w:t>
      </w:r>
      <w:r>
        <w:rPr>
          <w:rFonts w:ascii="Times New Roman" w:hAnsi="Times New Roman" w:eastAsia="黑体" w:cs="Times New Roman"/>
          <w:b/>
          <w:sz w:val="24"/>
          <w:szCs w:val="24"/>
          <w:lang w:bidi="ar"/>
        </w:rPr>
        <w:t xml:space="preserve"> </w:t>
      </w:r>
      <w:r>
        <w:rPr>
          <w:rFonts w:hint="eastAsia" w:ascii="Times New Roman" w:hAnsi="Times New Roman" w:eastAsia="黑体" w:cs="Times New Roman"/>
          <w:b/>
          <w:sz w:val="24"/>
          <w:szCs w:val="24"/>
          <w:lang w:val="en-US" w:eastAsia="zh-CN" w:bidi="ar"/>
        </w:rPr>
        <w:t xml:space="preserve"> </w:t>
      </w:r>
      <w:r>
        <w:rPr>
          <w:rFonts w:ascii="Times New Roman" w:hAnsi="Times New Roman" w:eastAsia="宋体" w:cs="Times New Roman"/>
          <w:sz w:val="24"/>
          <w:szCs w:val="24"/>
          <w:lang w:bidi="ar"/>
        </w:rPr>
        <w:t>密封。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formProt w:val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ins w:id="0" w:author="kylin" w:date="2022-03-10T15:49:58Z">
      <w:r>
        <w:rPr>
          <w:sz w:val="18"/>
        </w:rPr>
        <w:pict>
          <v:shape id="PowerPlusWaterMarkObject172335" o:spid="_x0000_s2049" o:spt="136" type="#_x0000_t136" style="position:absolute;left:0pt;height:50.1pt;width:537.15pt;mso-position-horizontal:center;mso-position-horizontal-relative:margin;mso-position-vertical:center;mso-position-vertical-relative:margin;rotation:-2949120f;z-index:-251658240;mso-width-relative:page;mso-height-relative:page;" fillcolor="#C0C0C0" filled="t" stroked="f" coordsize="21600,21600" adj="10800">
            <v:path/>
            <v:fill on="t" opacity="32768f" focussize="0,0"/>
            <v:stroke on="f"/>
            <v:imagedata o:title=""/>
            <o:lock v:ext="edit" aspectratio="t"/>
            <v:textpath on="t" fitshape="t" fitpath="t" trim="t" xscale="f" string="云南省中药配方颗粒标准公示稿" style="font-family:Microsoft YaHei;font-size:36pt;v-same-letter-heights:f;v-text-align:center;"/>
          </v:shape>
        </w:pict>
      </w:r>
    </w:ins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kylin">
    <w15:presenceInfo w15:providerId="None" w15:userId="ky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trackRevisions w:val="true"/>
  <w:documentProtection w:edit="forms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7792CA9"/>
    <w:rsid w:val="35D5604E"/>
    <w:rsid w:val="3B8D5F35"/>
    <w:rsid w:val="43273455"/>
    <w:rsid w:val="45B82E2C"/>
    <w:rsid w:val="55E74B31"/>
    <w:rsid w:val="73D6E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ind w:firstLine="0" w:firstLineChars="0"/>
      <w:jc w:val="center"/>
      <w:outlineLvl w:val="0"/>
    </w:pPr>
    <w:rPr>
      <w:rFonts w:ascii="Times New Roman" w:hAnsi="Times New Roman" w:eastAsia="宋体" w:cs="Times New Roman"/>
      <w:b/>
      <w:bCs/>
      <w:kern w:val="44"/>
      <w:sz w:val="2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2021-11-30T14:33:00Z</dcterms:created>
  <dc:creator>lenovo</dc:creator>
  <cp:lastModifiedBy>kylin</cp:lastModifiedBy>
  <cp:lastPrinted>2022-03-04T15:53:00Z</cp:lastPrinted>
  <dcterms:modified xsi:type="dcterms:W3CDTF">2022-03-10T15:50:04Z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2052-11.8.2.9864</vt:lpwstr>
  </property>
  <property fmtid="{D5CDD505-2E9C-101B-9397-08002B2CF9AE}" pid="3" name="ICV">
    <vt:lpwstr>12D3CDFEE5054B099CEEE6B8A8208D88</vt:lpwstr>
  </property>
</Properties>
</file>