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560" w:lineRule="exact"/>
        <w:jc w:val="center"/>
        <w:outlineLvl w:val="0"/>
        <w:rPr>
          <w:rFonts w:hint="default" w:ascii="Times New Roman" w:hAnsi="Times New Roman" w:eastAsia="Times New Roman" w:cs="Times New Roman"/>
          <w:b/>
          <w:bCs/>
          <w:kern w:val="44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bCs/>
          <w:kern w:val="44"/>
          <w:sz w:val="28"/>
          <w:szCs w:val="28"/>
        </w:rPr>
        <w:t>玉竹配方颗粒</w:t>
      </w:r>
    </w:p>
    <w:p>
      <w:pPr>
        <w:spacing w:line="560" w:lineRule="exact"/>
        <w:jc w:val="center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>Yuzhu Peifangkeli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>【来源】</w:t>
      </w:r>
      <w:r>
        <w:rPr>
          <w:rFonts w:hint="eastAsia" w:ascii="Times New Roman" w:hAnsi="Times New Roman" w:eastAsia="Times New Roman" w:cs="Times New Roman"/>
          <w:b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本品为百合科植物玉竹</w:t>
      </w: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</w:rPr>
        <w:t>Polygonatum ordoratum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（Mill.）Druce的干燥根茎经炮制并按标准汤剂主要质量指标加工制成的配方颗粒。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【制法】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取玉竹饮片1200g，加水煎煮，滤过，滤液浓缩成清膏（干浸膏出膏率为42%~58%），加辅料适量，干燥（或干燥，粉碎），再加入辅料适量，混匀，制粒，制成1000g，即得。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 xml:space="preserve">【性状】 </w:t>
      </w:r>
      <w:r>
        <w:rPr>
          <w:rFonts w:hint="eastAsia" w:ascii="Times New Roman" w:hAnsi="Times New Roman" w:eastAsia="Times New Roman" w:cs="Times New Roman"/>
          <w:b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本品为浅黄白色至浅黄色的颗粒；气微，味微甘。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【鉴别】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取本品2g，研细，加水20ml，微热使溶解，放冷，用乙酸乙酯振摇提取2次，每次20ml，合并乙酸乙酯液，蒸干，残渣加甲醇1ml使溶解，作为供试品溶液。另取玉竹对照药材2g，加水50ml，煮沸30分钟，滤过，滤液浓缩至约20ml，同法制成对照药材溶液。照薄层色谱法（中国药典2020年版通则0502）试验，吸取上述两种溶液各10μl，分别点于同一硅胶G薄层板上，以甲苯-乙酸乙酯-甲酸（3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: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6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: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1）为展开剂，展开，取出，晾干，置紫外光灯（365nm）下检视。供试品色谱中，在与对照药材色谱相应的位置上，显相同颜色的荧光主斑点。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【特征图谱】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色谱条件与系统适用性试验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同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>含量测定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项。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参照物溶液的制备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取玉竹对照药材0.5g，置具塞锥形瓶中，加水50ml，加热回流30分钟，放冷，摇匀，滤过，取续滤液，作为对照药材参照物溶液。另取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>含量测定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项下对照品溶液，作为对照品参照物溶液。再取</w:t>
      </w:r>
      <w:r>
        <w:rPr>
          <w:rFonts w:hint="default" w:ascii="Times New Roman" w:hAnsi="Times New Roman" w:eastAsia="Times New Roman" w:cs="Times New Roman"/>
          <w:i/>
          <w:iCs/>
          <w:sz w:val="24"/>
          <w:szCs w:val="24"/>
        </w:rPr>
        <w:t>D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-无水葡萄糖对照品、蔗糖对照品，分别加甲醇制成每1ml含</w:t>
      </w:r>
      <w:r>
        <w:rPr>
          <w:rFonts w:hint="default" w:ascii="Times New Roman" w:hAnsi="Times New Roman" w:eastAsia="Times New Roman" w:cs="Times New Roman"/>
          <w:i/>
          <w:iCs/>
          <w:sz w:val="24"/>
          <w:szCs w:val="24"/>
        </w:rPr>
        <w:t>D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-无水葡萄糖150μg、蔗糖150μg的溶液，作为对照品参照物溶液。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供试品溶液的制备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同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>含量测定</w:t>
      </w:r>
      <w:r>
        <w:rPr>
          <w:rFonts w:hint="eastAsia" w:ascii="Times New Roman" w:hAnsi="Times New Roman" w:eastAsia="Times New Roman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项下。</w:t>
      </w:r>
    </w:p>
    <w:p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测定法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分别精密吸取参照物溶液与供试品溶液各1µl，注入液相色谱仪，测定，即得。</w:t>
      </w:r>
    </w:p>
    <w:p>
      <w:pPr>
        <w:tabs>
          <w:tab w:val="left" w:pos="5400"/>
        </w:tabs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供试品色谱中应呈现4个特征峰，并应与对照药材参照物色谱中的4个特征峰保留时间相对应；其中峰1、峰2、峰3、峰4应分别与果糖对照品、</w:t>
      </w:r>
      <w:r>
        <w:rPr>
          <w:rFonts w:hint="default" w:ascii="Times New Roman" w:hAnsi="Times New Roman" w:eastAsia="Times New Roman" w:cs="Times New Roman"/>
          <w:sz w:val="24"/>
          <w:szCs w:val="24"/>
          <w:u w:val="single"/>
        </w:rPr>
        <w:t>D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-无水葡萄糖对照品、蔗糖对照品参照物峰的保留时间相一致。</w:t>
      </w:r>
    </w:p>
    <w:p>
      <w:pPr>
        <w:spacing w:line="360" w:lineRule="auto"/>
        <w:jc w:val="center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drawing>
          <wp:inline distT="0" distB="0" distL="0" distR="0">
            <wp:extent cx="5274310" cy="1478915"/>
            <wp:effectExtent l="0" t="0" r="6350" b="1905"/>
            <wp:docPr id="230" name="图片 23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520"/>
        </w:tabs>
        <w:spacing w:line="360" w:lineRule="auto"/>
        <w:jc w:val="center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hint="default" w:ascii="Times New Roman" w:hAnsi="Times New Roman" w:eastAsia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峰1：果糖；峰2、峰3：</w:t>
      </w:r>
      <w:r>
        <w:rPr>
          <w:rFonts w:hint="default" w:ascii="Times New Roman" w:hAnsi="Times New Roman" w:eastAsia="Times New Roman" w:cs="Times New Roman"/>
          <w:i/>
          <w:iCs/>
          <w:sz w:val="21"/>
          <w:szCs w:val="21"/>
        </w:rPr>
        <w:t>D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-无水葡萄糖；峰4：蔗糖</w:t>
      </w:r>
    </w:p>
    <w:p>
      <w:pPr>
        <w:tabs>
          <w:tab w:val="left" w:pos="5520"/>
        </w:tabs>
        <w:spacing w:line="360" w:lineRule="auto"/>
        <w:jc w:val="center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kern w:val="0"/>
          <w:sz w:val="21"/>
          <w:szCs w:val="21"/>
        </w:rPr>
        <w:t>色谱柱：InfinityLab Poroshell 120 HILIC-Z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，2.1mm×100mm,2.7µm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【检查】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【浸出物】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照醇溶性浸出物测定法项下的热浸法（中国药典2020年版通则2201）测定，用乙醇作溶剂，不得少于6.0%。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【含量测定】 </w:t>
      </w:r>
      <w:r>
        <w:rPr>
          <w:rFonts w:hint="eastAsia" w:ascii="Times New Roman" w:hAnsi="Times New Roman" w:eastAsia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色谱条件与系统适用性试验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以</w:t>
      </w:r>
      <w:r>
        <w:rPr>
          <w:rFonts w:hint="default" w:ascii="Times New Roman" w:hAnsi="Times New Roman" w:eastAsia="Times New Roman" w:cs="Times New Roman"/>
          <w:bCs/>
          <w:sz w:val="24"/>
          <w:szCs w:val="24"/>
        </w:rPr>
        <w:t>两性离子亲水作用固定相为填充剂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（柱长为100mm，内径为2.1nm，粒径为2.7μm）；以乙腈为流动相A，以0.005mol/L甲酸铵溶液（含0.1%甲酸）为流动相B，按下表中的规定进行梯度洗脱；流速为每分钟0.45ml；柱温为30℃；电雾式检测器检测。理论板数按果糖峰计算应不低于2000。</w:t>
      </w:r>
    </w:p>
    <w:tbl>
      <w:tblPr>
        <w:tblStyle w:val="4"/>
        <w:tblW w:w="8496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2"/>
        <w:gridCol w:w="2832"/>
        <w:gridCol w:w="283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2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时间（分钟）</w:t>
            </w:r>
          </w:p>
        </w:tc>
        <w:tc>
          <w:tcPr>
            <w:tcW w:w="2832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流动相A（%）</w:t>
            </w:r>
          </w:p>
        </w:tc>
        <w:tc>
          <w:tcPr>
            <w:tcW w:w="2832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0～4</w:t>
            </w:r>
          </w:p>
        </w:tc>
        <w:tc>
          <w:tcPr>
            <w:tcW w:w="283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95→91</w:t>
            </w:r>
          </w:p>
        </w:tc>
        <w:tc>
          <w:tcPr>
            <w:tcW w:w="2832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5→9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2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4～5</w:t>
            </w:r>
          </w:p>
        </w:tc>
        <w:tc>
          <w:tcPr>
            <w:tcW w:w="2832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91→86</w:t>
            </w:r>
          </w:p>
        </w:tc>
        <w:tc>
          <w:tcPr>
            <w:tcW w:w="2832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9→14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32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5～16</w:t>
            </w:r>
          </w:p>
        </w:tc>
        <w:tc>
          <w:tcPr>
            <w:tcW w:w="2832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86</w:t>
            </w:r>
          </w:p>
        </w:tc>
        <w:tc>
          <w:tcPr>
            <w:tcW w:w="2832" w:type="dxa"/>
            <w:tcBorders>
              <w:bottom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14</w:t>
            </w:r>
          </w:p>
        </w:tc>
      </w:tr>
    </w:tbl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对照品溶液的制备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取果糖对照品适量，精密称定，加甲醇制成每1ml含0.3mg溶液，即得。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供试品溶液的制备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取本品适量，研细，取约0.2g，精密称定，置具塞锥形瓶中，精密加入70%甲醇50ml，密塞，超声处理（功率250W，频率40kHz）30分钟，放冷，</w:t>
      </w:r>
      <w:r>
        <w:rPr>
          <w:rFonts w:hint="default" w:ascii="Times New Roman" w:hAnsi="Times New Roman" w:eastAsia="Times New Roman" w:cs="Times New Roman"/>
          <w:bCs/>
          <w:sz w:val="24"/>
          <w:szCs w:val="24"/>
        </w:rPr>
        <w:t>再次称定重量，用70%甲醇补足减失的重量，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摇匀，滤过，取续滤液，即得。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测定法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分别精密吸取对照品溶液0.5µ</w:t>
      </w:r>
      <w:r>
        <w:rPr>
          <w:rFonts w:hint="default" w:ascii="Times New Roman" w:hAnsi="Times New Roman" w:eastAsia="Times New Roman" w:cs="Times New Roman"/>
          <w:spacing w:val="4"/>
          <w:sz w:val="24"/>
          <w:szCs w:val="24"/>
        </w:rPr>
        <w:t>l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、3µ</w:t>
      </w:r>
      <w:r>
        <w:rPr>
          <w:rFonts w:hint="default" w:ascii="Times New Roman" w:hAnsi="Times New Roman" w:eastAsia="Times New Roman" w:cs="Times New Roman"/>
          <w:spacing w:val="4"/>
          <w:sz w:val="24"/>
          <w:szCs w:val="24"/>
        </w:rPr>
        <w:t>l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，供试品溶液1~2µ</w:t>
      </w:r>
      <w:r>
        <w:rPr>
          <w:rFonts w:hint="default" w:ascii="Times New Roman" w:hAnsi="Times New Roman" w:eastAsia="Times New Roman" w:cs="Times New Roman"/>
          <w:spacing w:val="4"/>
          <w:sz w:val="24"/>
          <w:szCs w:val="24"/>
        </w:rPr>
        <w:t>l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，注入液相色谱仪，测定，用外标两点法对数方程计算，即得。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本品每1g含果糖（C</w:t>
      </w:r>
      <w:r>
        <w:rPr>
          <w:rFonts w:hint="default" w:ascii="Times New Roman" w:hAnsi="Times New Roman" w:eastAsia="Times New Roman" w:cs="Times New Roman"/>
          <w:sz w:val="24"/>
          <w:szCs w:val="24"/>
          <w:vertAlign w:val="subscript"/>
        </w:rPr>
        <w:t>6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H</w:t>
      </w:r>
      <w:r>
        <w:rPr>
          <w:rFonts w:hint="default" w:ascii="Times New Roman" w:hAnsi="Times New Roman" w:eastAsia="Times New Roman" w:cs="Times New Roman"/>
          <w:sz w:val="24"/>
          <w:szCs w:val="24"/>
          <w:vertAlign w:val="subscript"/>
        </w:rPr>
        <w:t>12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O</w:t>
      </w:r>
      <w:r>
        <w:rPr>
          <w:rFonts w:hint="default" w:ascii="Times New Roman" w:hAnsi="Times New Roman" w:eastAsia="Times New Roman" w:cs="Times New Roman"/>
          <w:sz w:val="24"/>
          <w:szCs w:val="24"/>
          <w:vertAlign w:val="subscript"/>
        </w:rPr>
        <w:t>6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）应为</w:t>
      </w:r>
      <w:r>
        <w:rPr>
          <w:rFonts w:hint="default" w:ascii="Times New Roman" w:hAnsi="Times New Roman" w:eastAsia="Times New Roman" w:cs="Times New Roman"/>
          <w:bCs/>
          <w:sz w:val="24"/>
          <w:szCs w:val="24"/>
        </w:rPr>
        <w:t>35.0mg~115.0mg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</w:rPr>
        <w:t xml:space="preserve">【规格】 </w:t>
      </w:r>
      <w:r>
        <w:rPr>
          <w:rFonts w:hint="eastAsia" w:ascii="Times New Roman" w:hAnsi="Times New Roman" w:eastAsia="Times New Roman" w:cs="Times New Roman"/>
          <w:b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  <w:t>每1g配方颗粒相当于饮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片1.2g。</w:t>
      </w:r>
    </w:p>
    <w:p>
      <w:pPr>
        <w:spacing w:line="360" w:lineRule="auto"/>
        <w:ind w:firstLine="481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【贮藏】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密封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09T16:48:07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30966"/>
    <w:rsid w:val="169E49C6"/>
    <w:rsid w:val="1F213DDD"/>
    <w:rsid w:val="7F69D0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2021-11-30T01:13:00Z</dcterms:created>
  <dc:creator>iPad</dc:creator>
  <cp:lastModifiedBy>kylin</cp:lastModifiedBy>
  <cp:lastPrinted>2022-03-02T10:27:00Z</cp:lastPrinted>
  <dcterms:modified xsi:type="dcterms:W3CDTF">2022-03-09T16:48:23Z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0A5EE343BE094DBD85862A66C0105DA6</vt:lpwstr>
  </property>
</Properties>
</file>