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44"/>
        </w:rPr>
        <w:t>黄精（多花黄精）配方颗粒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Arial Unicode MS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Arial Unicode MS" w:cs="Times New Roman"/>
          <w:b/>
          <w:bCs/>
          <w:sz w:val="28"/>
          <w:szCs w:val="28"/>
        </w:rPr>
        <w:t>Huangjing Peifangkeli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【来源】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</w:t>
      </w:r>
      <w:r>
        <w:rPr>
          <w:rFonts w:ascii="Times New Roman" w:hAnsi="Times New Roman" w:eastAsia="宋体" w:cs="Times New Roman"/>
          <w:bCs/>
          <w:sz w:val="24"/>
          <w:szCs w:val="24"/>
        </w:rPr>
        <w:t>百合科植物多花黄精</w:t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 xml:space="preserve">Polygonatum cyrtonema </w:t>
      </w:r>
      <w:r>
        <w:rPr>
          <w:rFonts w:ascii="Times New Roman" w:hAnsi="Times New Roman" w:eastAsia="宋体" w:cs="Times New Roman"/>
          <w:bCs/>
          <w:sz w:val="24"/>
          <w:szCs w:val="24"/>
        </w:rPr>
        <w:t>Hua的干燥根茎</w:t>
      </w:r>
      <w:r>
        <w:rPr>
          <w:rFonts w:ascii="Times New Roman" w:hAnsi="Times New Roman" w:eastAsia="宋体" w:cs="Times New Roman"/>
          <w:sz w:val="24"/>
          <w:szCs w:val="24"/>
        </w:rPr>
        <w:t>经炮制并按标准汤剂的主要质量指标加工制成的配方颗粒。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【制法】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取黄精（多花黄精）饮片1300g，加水煎煮，滤过，滤液浓缩成清膏（干浸膏出膏率为38.5%~56.9%），加辅料适量，干燥（或干燥，粉碎），再加入辅料适量，混匀，制粒，制成1000g，即得。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【性状】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本品为浅黄白色至黄棕色的颗粒；气微，味甜。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【鉴别】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取本品1g，加乙醇20ml，超声处理30分钟，滤过，滤液蒸干，残渣</w:t>
      </w:r>
      <w:r>
        <w:rPr>
          <w:rFonts w:ascii="Times New Roman" w:hAnsi="Times New Roman" w:eastAsia="宋体" w:cs="Times New Roman"/>
          <w:sz w:val="24"/>
          <w:szCs w:val="24"/>
        </w:rPr>
        <w:t>加水10ml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使溶解</w:t>
      </w:r>
      <w:r>
        <w:rPr>
          <w:rFonts w:ascii="Times New Roman" w:hAnsi="Times New Roman" w:eastAsia="宋体" w:cs="Times New Roman"/>
          <w:sz w:val="24"/>
          <w:szCs w:val="24"/>
        </w:rPr>
        <w:t>，用水饱和正丁醇振摇提取2次，每次20ml，合并正丁醇液，蒸干，残渣加甲醇1ml使溶解，作为供试品溶液。另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取黄精对照药材2g，</w:t>
      </w:r>
      <w:r>
        <w:rPr>
          <w:rFonts w:ascii="Times New Roman" w:hAnsi="Times New Roman" w:eastAsia="宋体" w:cs="Times New Roman"/>
          <w:sz w:val="24"/>
          <w:szCs w:val="24"/>
        </w:rPr>
        <w:t>加水50ml，煮沸30分钟，滤过，滤液蒸干，残渣加乙醇20ml，同法制成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对照药材溶液。照薄层色谱法（中国药典</w:t>
      </w:r>
      <w:r>
        <w:rPr>
          <w:rFonts w:ascii="Times New Roman" w:hAnsi="Times New Roman" w:eastAsia="宋体" w:cs="Times New Roman"/>
          <w:sz w:val="24"/>
          <w:szCs w:val="24"/>
        </w:rPr>
        <w:t>2020年版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通则0502）试验，吸取</w:t>
      </w:r>
      <w:r>
        <w:rPr>
          <w:rFonts w:ascii="Times New Roman" w:hAnsi="Times New Roman" w:eastAsia="宋体" w:cs="Times New Roman"/>
          <w:sz w:val="24"/>
          <w:szCs w:val="24"/>
        </w:rPr>
        <w:t>上述两种溶液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各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2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~5μl，分别点于同一硅胶G薄层板上，以</w:t>
      </w:r>
      <w:r>
        <w:rPr>
          <w:rFonts w:ascii="Times New Roman" w:hAnsi="Times New Roman" w:eastAsia="宋体" w:cs="Times New Roman"/>
          <w:sz w:val="24"/>
          <w:szCs w:val="24"/>
        </w:rPr>
        <w:t>三氯甲烷</w:t>
      </w:r>
      <w:r>
        <w:rPr>
          <w:rFonts w:ascii="Times New Roman" w:hAnsi="Times New Roman" w:eastAsia="MS Mincho" w:cs="Times New Roman"/>
          <w:sz w:val="24"/>
          <w:szCs w:val="24"/>
        </w:rPr>
        <w:t>−</w:t>
      </w:r>
      <w:r>
        <w:rPr>
          <w:rFonts w:ascii="Times New Roman" w:hAnsi="Times New Roman" w:eastAsia="宋体" w:cs="Times New Roman"/>
          <w:sz w:val="24"/>
          <w:szCs w:val="24"/>
        </w:rPr>
        <w:t>甲醇</w:t>
      </w:r>
      <w:r>
        <w:rPr>
          <w:rFonts w:ascii="Times New Roman" w:hAnsi="Times New Roman" w:eastAsia="MS Mincho" w:cs="Times New Roman"/>
          <w:sz w:val="24"/>
          <w:szCs w:val="24"/>
        </w:rPr>
        <w:t>−</w:t>
      </w:r>
      <w:r>
        <w:rPr>
          <w:rFonts w:ascii="Times New Roman" w:hAnsi="Times New Roman" w:eastAsia="宋体" w:cs="Times New Roman"/>
          <w:sz w:val="24"/>
          <w:szCs w:val="24"/>
        </w:rPr>
        <w:t>冰醋酸（8︰4︰1）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为展开剂，展开，取出，晾干，喷以5%磷钼酸乙醇溶液，在105</w:t>
      </w:r>
      <w:r>
        <w:rPr>
          <w:rFonts w:hint="eastAsia" w:ascii="宋体" w:hAnsi="宋体" w:eastAsia="宋体" w:cs="宋体"/>
          <w:kern w:val="0"/>
          <w:sz w:val="24"/>
          <w:szCs w:val="24"/>
        </w:rPr>
        <w:t>℃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加热至斑点显色清晰。供试品色谱中，在与对照药材色谱相应的位置上，显相同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颜色的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斑点。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【特征图谱】</w:t>
      </w:r>
      <w:r>
        <w:rPr>
          <w:rFonts w:ascii="Times New Roman" w:hAnsi="Times New Roman" w:eastAsia="黑体" w:cs="Times New Roman"/>
          <w:b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色谱条件与系统适用性试验</w:t>
      </w:r>
      <w:r>
        <w:rPr>
          <w:rFonts w:ascii="Times New Roman" w:hAnsi="Times New Roman" w:eastAsia="黑体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以十八烷基硅烷键合硅胶为填充剂</w:t>
      </w:r>
      <w:r>
        <w:rPr>
          <w:rFonts w:ascii="Times New Roman" w:hAnsi="Times New Roman" w:eastAsia="宋体" w:cs="Times New Roman"/>
          <w:sz w:val="24"/>
          <w:szCs w:val="24"/>
        </w:rPr>
        <w:t>（柱长为100mm，内径为2.1 mm ，粒径为1.8μm）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；以乙腈为流动相A，以0.1%磷酸溶液为流动相B，按下表中的规定进行梯度洗脱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；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流速为每分钟0.2ml；柱温为15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℃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；检测波长为208nm。理论板数按色氨酸峰计算应不低于5000。</w:t>
      </w:r>
    </w:p>
    <w:tbl>
      <w:tblPr>
        <w:tblStyle w:val="5"/>
        <w:tblW w:w="8522" w:type="dxa"/>
        <w:jc w:val="center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2703"/>
        <w:gridCol w:w="2685"/>
      </w:tblGrid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703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685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tcBorders>
              <w:top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0～1</w:t>
            </w:r>
          </w:p>
        </w:tc>
        <w:tc>
          <w:tcPr>
            <w:tcW w:w="2703" w:type="dxa"/>
            <w:tcBorders>
              <w:top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</w:p>
        </w:tc>
        <w:tc>
          <w:tcPr>
            <w:tcW w:w="2685" w:type="dxa"/>
            <w:tcBorders>
              <w:top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1～8</w:t>
            </w:r>
          </w:p>
        </w:tc>
        <w:tc>
          <w:tcPr>
            <w:tcW w:w="270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0→5</w:t>
            </w:r>
          </w:p>
        </w:tc>
        <w:tc>
          <w:tcPr>
            <w:tcW w:w="26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100→95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8～16</w:t>
            </w:r>
          </w:p>
        </w:tc>
        <w:tc>
          <w:tcPr>
            <w:tcW w:w="270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5→12</w:t>
            </w:r>
          </w:p>
        </w:tc>
        <w:tc>
          <w:tcPr>
            <w:tcW w:w="26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95→88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134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16～25</w:t>
            </w:r>
          </w:p>
        </w:tc>
        <w:tc>
          <w:tcPr>
            <w:tcW w:w="2703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12→25</w:t>
            </w:r>
          </w:p>
        </w:tc>
        <w:tc>
          <w:tcPr>
            <w:tcW w:w="2685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88→75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25～30</w:t>
            </w:r>
          </w:p>
        </w:tc>
        <w:tc>
          <w:tcPr>
            <w:tcW w:w="2703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</w:t>
            </w:r>
          </w:p>
        </w:tc>
        <w:tc>
          <w:tcPr>
            <w:tcW w:w="268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75</w:t>
            </w:r>
          </w:p>
        </w:tc>
      </w:tr>
    </w:tbl>
    <w:p>
      <w:pPr>
        <w:adjustRightInd w:val="0"/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参照物溶液的制备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黄精对照药材1g，置具塞锥形瓶中，加水20ml，加热回流30分钟，放冷，摇匀，滤过，蒸干，残渣加30%甲醇适量使溶解，转移至5ml量瓶中，加30%甲醇至刻度，摇匀，滤过，取续滤液，作为对照药材参照物溶液。另取色氨酸对照品，加甲醇制成每1ml含90µg的溶液，作为对照品参照物溶液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ascii="Times New Roman" w:hAnsi="Times New Roman" w:eastAsia="黑体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取本品适量，研细，取约0.4g，精密称定，置具塞锥形瓶中，精密加入30%甲醇20ml，密塞，称定重量，超声处理（功率250W，频率40kHz）30分钟，放冷，再称定重量，用30%甲醇补足减失的重量，摇匀，滤过，滤液蒸干，残渣加30%甲醇适量使溶解，转移至5ml量瓶中，加30%甲醇至刻度，摇匀，滤过，取续滤液，即得。</w:t>
      </w:r>
    </w:p>
    <w:p>
      <w:pPr>
        <w:adjustRightInd w:val="0"/>
        <w:spacing w:line="360" w:lineRule="auto"/>
        <w:ind w:firstLine="481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测定法</w:t>
      </w:r>
      <w:r>
        <w:rPr>
          <w:rFonts w:ascii="Times New Roman" w:hAnsi="Times New Roman" w:eastAsia="黑体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分别精密吸取参照物溶液1µl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、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供试品溶液3µl，注入液相色谱仪，测定，即得。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供试品色谱中应呈现5个特征峰，并应与对照药材参照物色谱中的5个特征峰的保留时间相对应；其中1个峰应与对照品参照物峰的保留时间相对应。与色氨酸参照物相应的峰为S峰，计算各特征峰与S峰的相对保留时间，其相对保留时间应在规定值的±10%之内。</w:t>
      </w:r>
      <w:r>
        <w:rPr>
          <w:rFonts w:ascii="Times New Roman" w:hAnsi="Times New Roman" w:eastAsia="宋体" w:cs="Times New Roman"/>
          <w:sz w:val="24"/>
          <w:szCs w:val="24"/>
        </w:rPr>
        <w:t>规定值为：0.54（峰1）、0.65（峰2）、0.86（峰3）、1.30（峰5）。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drawing>
          <wp:inline distT="0" distB="0" distL="0" distR="0">
            <wp:extent cx="5274310" cy="1729105"/>
            <wp:effectExtent l="19050" t="0" r="2540" b="0"/>
            <wp:docPr id="1" name="图片 8" descr="黄精配方颗粒对照特征图谱（3批大生产）-bz.bmp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黄精配方颗粒对照特征图谱（3批大生产）-bz.bmp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峰4（S）：色氨酸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</w:t>
      </w:r>
      <w:r>
        <w:rPr>
          <w:rFonts w:hint="eastAsia" w:ascii="Times New Roman" w:hAnsi="Times New Roman" w:eastAsia="宋体" w:cs="Times New Roman"/>
          <w:sz w:val="21"/>
          <w:szCs w:val="21"/>
        </w:rPr>
        <w:t>：</w:t>
      </w:r>
      <w:r>
        <w:rPr>
          <w:rFonts w:ascii="Times New Roman" w:hAnsi="Times New Roman" w:eastAsia="宋体" w:cs="Times New Roman"/>
          <w:sz w:val="21"/>
          <w:szCs w:val="21"/>
        </w:rPr>
        <w:t>HSS T3，2.1×100mm</w:t>
      </w:r>
      <w:r>
        <w:rPr>
          <w:rFonts w:hint="eastAsia" w:ascii="Times New Roman" w:hAnsi="Times New Roman" w:eastAsia="宋体" w:cs="Times New Roman"/>
          <w:sz w:val="21"/>
          <w:szCs w:val="21"/>
        </w:rPr>
        <w:t>，</w:t>
      </w:r>
      <w:r>
        <w:rPr>
          <w:rFonts w:ascii="Times New Roman" w:hAnsi="Times New Roman" w:eastAsia="宋体" w:cs="Times New Roman"/>
          <w:sz w:val="21"/>
          <w:szCs w:val="21"/>
        </w:rPr>
        <w:t>1.8μm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【检查】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应符合颗粒剂项下有关的各项规定（中国药典2020年版通则0104）。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【浸出物】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照醇溶性浸出物测定法（中国药典2020年版通则2201）项下的热浸法测定，</w:t>
      </w:r>
      <w:r>
        <w:rPr>
          <w:rFonts w:hint="eastAsia" w:ascii="Times New Roman" w:hAnsi="Times New Roman" w:eastAsia="宋体" w:cs="Times New Roman"/>
          <w:sz w:val="24"/>
          <w:szCs w:val="24"/>
        </w:rPr>
        <w:t>用</w:t>
      </w:r>
      <w:r>
        <w:rPr>
          <w:rFonts w:ascii="Times New Roman" w:hAnsi="Times New Roman" w:eastAsia="宋体" w:cs="Times New Roman"/>
          <w:sz w:val="24"/>
          <w:szCs w:val="24"/>
        </w:rPr>
        <w:t>乙醇作溶剂，不得少于8.0%。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【含量测定】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色谱条件与系统适用性试验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bCs/>
          <w:sz w:val="24"/>
          <w:szCs w:val="24"/>
        </w:rPr>
        <w:t>以两性离子亲水作用固定相为填充剂</w:t>
      </w:r>
      <w:r>
        <w:rPr>
          <w:rFonts w:ascii="Times New Roman" w:hAnsi="Times New Roman" w:eastAsia="宋体" w:cs="Times New Roman"/>
          <w:sz w:val="24"/>
          <w:szCs w:val="24"/>
        </w:rPr>
        <w:t>（柱长为100mm，内径为2.1mm，粒径为2.7µm）；以乙腈为流动相A，以5mmol/L醋酸铵溶液为流动相B，按下表中的规定进行梯度洗脱；流速为每分钟0.3ml；柱温为35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；蒸发光散射检测器检测；理论板数按果糖峰计算应不低于2500。</w:t>
      </w:r>
    </w:p>
    <w:tbl>
      <w:tblPr>
        <w:tblStyle w:val="5"/>
        <w:tblW w:w="8522" w:type="dxa"/>
        <w:jc w:val="center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2"/>
      </w:tblGrid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8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84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735" w:firstLineChars="35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0～1</w:t>
            </w:r>
          </w:p>
        </w:tc>
        <w:tc>
          <w:tcPr>
            <w:tcW w:w="284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840" w:firstLineChars="4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95</w:t>
            </w:r>
          </w:p>
        </w:tc>
        <w:tc>
          <w:tcPr>
            <w:tcW w:w="284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840" w:firstLineChars="4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spacing w:line="360" w:lineRule="auto"/>
              <w:ind w:firstLine="735" w:firstLineChars="35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1～3</w:t>
            </w:r>
          </w:p>
        </w:tc>
        <w:tc>
          <w:tcPr>
            <w:tcW w:w="2840" w:type="dxa"/>
            <w:vAlign w:val="center"/>
          </w:tcPr>
          <w:p>
            <w:pPr>
              <w:widowControl/>
              <w:spacing w:line="360" w:lineRule="auto"/>
              <w:ind w:firstLine="525" w:firstLineChars="25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95→90</w:t>
            </w:r>
          </w:p>
        </w:tc>
        <w:tc>
          <w:tcPr>
            <w:tcW w:w="2842" w:type="dxa"/>
            <w:vAlign w:val="center"/>
          </w:tcPr>
          <w:p>
            <w:pPr>
              <w:widowControl/>
              <w:spacing w:line="360" w:lineRule="auto"/>
              <w:ind w:firstLine="630" w:firstLineChars="3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5→10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840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firstLine="735" w:firstLineChars="35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3～10</w:t>
            </w:r>
          </w:p>
        </w:tc>
        <w:tc>
          <w:tcPr>
            <w:tcW w:w="2840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firstLine="525" w:firstLineChars="25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90→80</w:t>
            </w:r>
          </w:p>
        </w:tc>
        <w:tc>
          <w:tcPr>
            <w:tcW w:w="2842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firstLine="525" w:firstLineChars="25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10→20</w:t>
            </w:r>
          </w:p>
        </w:tc>
      </w:tr>
    </w:tbl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对照品溶液的制备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取果糖对照品适量，精密称定，加甲醇制成每1ml含果糖1mg的溶液，</w:t>
      </w:r>
      <w:r>
        <w:rPr>
          <w:rFonts w:hint="eastAsia" w:ascii="Times New Roman" w:hAnsi="Times New Roman" w:eastAsia="宋体" w:cs="Times New Roman"/>
          <w:sz w:val="24"/>
          <w:szCs w:val="24"/>
        </w:rPr>
        <w:t>即得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约0.2g，精密称定，置具塞锥形瓶中，精密加入70%甲醇25ml，密塞，称定重量，超声处理（功率250W，频率40kHz）45分钟，放冷，再称定重量，用70%甲醇补足减失重量，摇匀，滤过，取续滤液，即得。</w:t>
      </w:r>
    </w:p>
    <w:p>
      <w:pPr>
        <w:tabs>
          <w:tab w:val="left" w:pos="5520"/>
        </w:tabs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测定法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分别精密吸取对照品溶液0.5µl、2µl，供试品溶液2µl，注入液相色谱仪，测定，</w:t>
      </w:r>
      <w:r>
        <w:rPr>
          <w:rFonts w:hint="eastAsia" w:ascii="Times New Roman" w:hAnsi="Times New Roman" w:eastAsia="宋体" w:cs="Times New Roman"/>
          <w:sz w:val="24"/>
          <w:szCs w:val="24"/>
        </w:rPr>
        <w:t>以外标两点法对数方程计算，</w:t>
      </w:r>
      <w:r>
        <w:rPr>
          <w:rFonts w:ascii="Times New Roman" w:hAnsi="Times New Roman" w:eastAsia="宋体" w:cs="Times New Roman"/>
          <w:sz w:val="24"/>
          <w:szCs w:val="24"/>
        </w:rPr>
        <w:t>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本品每1g含果糖（C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12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t>）应为</w:t>
      </w:r>
      <w:r>
        <w:rPr>
          <w:rFonts w:ascii="Times New Roman" w:hAnsi="Times New Roman" w:eastAsia="宋体" w:cs="Times New Roman"/>
          <w:bCs/>
          <w:sz w:val="24"/>
          <w:szCs w:val="24"/>
        </w:rPr>
        <w:t>60.0mg~150.0mg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【规格】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每1g配方颗粒相当于饮片1.3g。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【贮藏】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密封。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ins w:id="0" w:author="kylin" w:date="2022-03-10T15:54:57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B0C64"/>
    <w:rsid w:val="1BD66535"/>
    <w:rsid w:val="37C94AB6"/>
    <w:rsid w:val="407D74F8"/>
    <w:rsid w:val="42C834E6"/>
    <w:rsid w:val="57D3CCB4"/>
    <w:rsid w:val="70C5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2021-11-30T14:50:00Z</dcterms:created>
  <dc:creator>lenovo</dc:creator>
  <cp:lastModifiedBy>kylin</cp:lastModifiedBy>
  <dcterms:modified xsi:type="dcterms:W3CDTF">2022-03-10T15:55:00Z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759A6E02338741608E1DF47727EBA5DB</vt:lpwstr>
  </property>
</Properties>
</file>