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7BC2" w14:textId="77777777" w:rsidR="004E472A" w:rsidRDefault="00367E33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A077AB9" w14:textId="77777777" w:rsidR="004E472A" w:rsidRDefault="004E472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8415E08" w14:textId="09F578B6" w:rsidR="004E472A" w:rsidRDefault="00367E3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贵州省二级以上综合医院临床营养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基本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</w:t>
      </w:r>
      <w:r>
        <w:rPr>
          <w:rFonts w:ascii="楷体" w:eastAsia="楷体" w:hAnsi="楷体" w:cs="楷体" w:hint="eastAsia"/>
          <w:sz w:val="32"/>
          <w:szCs w:val="32"/>
        </w:rPr>
        <w:t>（试行）（征求意见稿）</w:t>
      </w:r>
    </w:p>
    <w:p w14:paraId="7EC143FA" w14:textId="77777777" w:rsidR="004E472A" w:rsidRDefault="004E472A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5759BD63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本标准为二级以上综合医院临床营养科执业必须达到的最低标准。二级以上综合医院设置临床营养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科应当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按照本标准执行，其他医疗机构可参照执行。</w:t>
      </w:r>
    </w:p>
    <w:p w14:paraId="28C36AA3" w14:textId="77777777" w:rsidR="004E472A" w:rsidRDefault="00367E33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管理、</w:t>
      </w:r>
      <w:r>
        <w:rPr>
          <w:rFonts w:ascii="黑体" w:eastAsia="黑体" w:hAnsi="黑体" w:cs="黑体" w:hint="eastAsia"/>
          <w:sz w:val="32"/>
          <w:szCs w:val="32"/>
        </w:rPr>
        <w:t>科室</w:t>
      </w:r>
      <w:r>
        <w:rPr>
          <w:rFonts w:ascii="黑体" w:eastAsia="黑体" w:hAnsi="黑体" w:cs="黑体" w:hint="eastAsia"/>
          <w:sz w:val="32"/>
          <w:szCs w:val="32"/>
        </w:rPr>
        <w:t>及</w:t>
      </w:r>
      <w:r>
        <w:rPr>
          <w:rFonts w:ascii="黑体" w:eastAsia="黑体" w:hAnsi="黑体" w:cs="黑体" w:hint="eastAsia"/>
          <w:sz w:val="32"/>
          <w:szCs w:val="32"/>
        </w:rPr>
        <w:t>面积</w:t>
      </w:r>
    </w:p>
    <w:p w14:paraId="6BDEC9BA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营养科</w:t>
      </w:r>
      <w:r>
        <w:rPr>
          <w:rFonts w:ascii="仿宋_GB2312" w:eastAsia="仿宋_GB2312" w:hAnsi="仿宋_GB2312" w:cs="仿宋_GB2312" w:hint="eastAsia"/>
          <w:sz w:val="32"/>
          <w:szCs w:val="32"/>
        </w:rPr>
        <w:t>须在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医院医疗管理部门领导下开展工作。</w:t>
      </w:r>
    </w:p>
    <w:p w14:paraId="5CEDCE98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（二）科室。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设置医疗区和营养治疗制备区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营养门诊、</w:t>
      </w:r>
      <w:r>
        <w:rPr>
          <w:rFonts w:ascii="仿宋_GB2312" w:eastAsia="仿宋_GB2312" w:hAnsi="仿宋_GB2312" w:cs="仿宋_GB2312" w:hint="eastAsia"/>
          <w:sz w:val="32"/>
          <w:szCs w:val="32"/>
        </w:rPr>
        <w:t>营养诊断室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</w:t>
      </w:r>
      <w:r>
        <w:rPr>
          <w:rFonts w:ascii="仿宋_GB2312" w:eastAsia="仿宋_GB2312" w:hAnsi="仿宋_GB2312" w:cs="仿宋_GB2312" w:hint="eastAsia"/>
          <w:sz w:val="32"/>
          <w:szCs w:val="32"/>
        </w:rPr>
        <w:t>膳食</w:t>
      </w:r>
      <w:r>
        <w:rPr>
          <w:rFonts w:ascii="仿宋_GB2312" w:eastAsia="仿宋_GB2312" w:hAnsi="仿宋_GB2312" w:cs="仿宋_GB2312" w:hint="eastAsia"/>
          <w:sz w:val="32"/>
          <w:szCs w:val="32"/>
        </w:rPr>
        <w:t>配制室（</w:t>
      </w:r>
      <w:r>
        <w:rPr>
          <w:rFonts w:ascii="仿宋_GB2312" w:eastAsia="仿宋_GB2312" w:hAnsi="仿宋_GB2312" w:cs="仿宋_GB2312" w:hint="eastAsia"/>
          <w:sz w:val="32"/>
          <w:szCs w:val="32"/>
        </w:rPr>
        <w:t>可单独设置，也可设置在营养食堂内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肠内营养配制室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A1B77F5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（三）面积。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医疗区和营养治疗制备区总使用面积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三级综合医院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二级综合医院不少于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场所需满足工作需要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D5CA91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二、人员</w:t>
      </w:r>
    </w:p>
    <w:p w14:paraId="76C91156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临床营养科医师应为卫生健康行政部门注册的执业医师，并经临床营养相关专业培训合格。三级综合医院至少配备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人，二级综合医院至少配备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人。人数应能满足工作需要。</w:t>
      </w:r>
    </w:p>
    <w:p w14:paraId="1AAB0967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（二）临床营养科护士应为卫生健康行政部门注册的执业护士，并经临床营养相关专业培训合格。三级综合医院至少配备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人，二级综合医院至少配备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人。人数应能满足工作需要。</w:t>
      </w:r>
    </w:p>
    <w:p w14:paraId="2E948352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（三）临床营养科技师应为卫生健康行政部门注册的营养技师，或经临床营养专业教育培训合格的技师，</w:t>
      </w:r>
      <w:r>
        <w:rPr>
          <w:rFonts w:ascii="仿宋_GB2312" w:eastAsia="仿宋_GB2312" w:hAnsi="仿宋_GB2312" w:cs="仿宋_GB2312" w:hint="eastAsia"/>
          <w:sz w:val="32"/>
          <w:szCs w:val="32"/>
        </w:rPr>
        <w:t>技师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医师比例</w:t>
      </w:r>
      <w:r>
        <w:rPr>
          <w:rFonts w:ascii="仿宋_GB2312" w:eastAsia="仿宋_GB2312" w:hAnsi="仿宋_GB2312" w:cs="仿宋_GB2312" w:hint="eastAsia"/>
          <w:sz w:val="32"/>
          <w:szCs w:val="32"/>
        </w:rPr>
        <w:t>应至少达到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1:1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7E9E88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（四）设置营养病房的医疗机构，人员除须满足以上条件外，还应达到医疗机构基本标准人员配备要求。</w:t>
      </w:r>
    </w:p>
    <w:p w14:paraId="1E9494A9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（五）三级综合医院临床营养</w:t>
      </w:r>
      <w:r>
        <w:rPr>
          <w:rFonts w:ascii="仿宋_GB2312" w:eastAsia="仿宋_GB2312" w:hAnsi="仿宋_GB2312" w:cs="仿宋_GB2312" w:hint="eastAsia"/>
          <w:sz w:val="32"/>
          <w:szCs w:val="32"/>
        </w:rPr>
        <w:t>科主任应具</w:t>
      </w:r>
      <w:r>
        <w:rPr>
          <w:rFonts w:ascii="仿宋_GB2312" w:eastAsia="仿宋_GB2312" w:hAnsi="仿宋_GB2312" w:cs="仿宋_GB2312" w:hint="eastAsia"/>
          <w:sz w:val="32"/>
          <w:szCs w:val="32"/>
        </w:rPr>
        <w:t>有副主任医师以上相关卫生专业技术资格；二级综合医院临床营养</w:t>
      </w:r>
      <w:r>
        <w:rPr>
          <w:rFonts w:ascii="仿宋_GB2312" w:eastAsia="仿宋_GB2312" w:hAnsi="仿宋_GB2312" w:cs="仿宋_GB2312" w:hint="eastAsia"/>
          <w:sz w:val="32"/>
          <w:szCs w:val="32"/>
        </w:rPr>
        <w:t>科主任应具有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中级以上相关卫生专业技术资格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17D549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三、设备</w:t>
      </w:r>
    </w:p>
    <w:p w14:paraId="3E5E2CB5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（一）营养门诊及营养诊断室：至少配备人体成分分析仪、身高体重秤、皮褶厚度仪、握力计、血压计、玻璃纤维软尺、仿真食物模型、营养分析和评价软件等。</w:t>
      </w:r>
    </w:p>
    <w:p w14:paraId="3DE5F7C4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（二）医疗膳食配制室：至少应分为食品库房、准备间、烹饪间、餐具清洗消毒间及膳食分发间。至少配备食品加工、制作、冷藏、储存、运送</w:t>
      </w:r>
      <w:r>
        <w:rPr>
          <w:rFonts w:ascii="仿宋_GB2312" w:eastAsia="仿宋_GB2312" w:hAnsi="仿宋_GB2312" w:cs="仿宋_GB2312" w:hint="eastAsia"/>
          <w:sz w:val="32"/>
          <w:szCs w:val="32"/>
        </w:rPr>
        <w:t>的炊具及设备，以及食物称重、称量器具。室内不得有明沟，符合卫生、防火要求。</w:t>
      </w:r>
    </w:p>
    <w:p w14:paraId="3A5EF624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（三）肠内营养配制室：至少配备净化工作台、微波炉、电磁炉、冰箱、操作台、药品柜、蒸锅、清洗消毒设备、计量仪器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及各种配制容器等。</w:t>
      </w:r>
    </w:p>
    <w:p w14:paraId="6815980B" w14:textId="77777777" w:rsidR="004E472A" w:rsidRDefault="00367E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（四）信息化设备：至少配备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台能够上网的电脑，应当配备与医疗机构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HIS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LIS</w:t>
      </w:r>
      <w:r>
        <w:rPr>
          <w:rFonts w:ascii="仿宋_GB2312" w:eastAsia="仿宋_GB2312" w:hAnsi="仿宋_GB2312" w:cs="仿宋_GB2312" w:hint="eastAsia"/>
          <w:sz w:val="32"/>
          <w:szCs w:val="32"/>
        </w:rPr>
        <w:t>等信息系统相链接的临床营养诊疗系统。</w:t>
      </w:r>
    </w:p>
    <w:p w14:paraId="1F76DD74" w14:textId="77777777" w:rsidR="004E472A" w:rsidRDefault="00367E33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四、规章制度</w:t>
      </w:r>
    </w:p>
    <w:p w14:paraId="2E1A5D7E" w14:textId="77777777" w:rsidR="004E472A" w:rsidRDefault="00367E3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制定各项规章制度，明确人员岗位责任制。</w:t>
      </w:r>
    </w:p>
    <w:p w14:paraId="44818703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38254892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095DD1A6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6F408127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18A7A9AF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7325636E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7C647063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343888DE" w14:textId="77777777" w:rsidR="004E472A" w:rsidRDefault="004E472A">
      <w:pPr>
        <w:pStyle w:val="CharChar"/>
        <w:rPr>
          <w:rFonts w:ascii="仿宋_GB2312" w:eastAsia="仿宋_GB2312" w:hAnsi="仿宋_GB2312" w:cs="仿宋_GB2312"/>
          <w:sz w:val="32"/>
          <w:szCs w:val="32"/>
        </w:rPr>
      </w:pPr>
    </w:p>
    <w:p w14:paraId="77E76CB6" w14:textId="77777777" w:rsidR="004E472A" w:rsidRDefault="004E472A">
      <w:pPr>
        <w:pStyle w:val="CharChar"/>
        <w:jc w:val="both"/>
      </w:pPr>
    </w:p>
    <w:sectPr w:rsidR="004E472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charset w:val="00"/>
    <w:family w:val="auto"/>
    <w:pitch w:val="default"/>
  </w:font>
  <w:font w:name="E-BZ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2A"/>
    <w:rsid w:val="00367E33"/>
    <w:rsid w:val="004E472A"/>
    <w:rsid w:val="02DC7372"/>
    <w:rsid w:val="082408E5"/>
    <w:rsid w:val="091B7536"/>
    <w:rsid w:val="0C602BA8"/>
    <w:rsid w:val="0D802A51"/>
    <w:rsid w:val="11515B30"/>
    <w:rsid w:val="12F663A1"/>
    <w:rsid w:val="1E99777F"/>
    <w:rsid w:val="225410EB"/>
    <w:rsid w:val="22BE1E83"/>
    <w:rsid w:val="23D44CA6"/>
    <w:rsid w:val="258F051B"/>
    <w:rsid w:val="26E23B5D"/>
    <w:rsid w:val="280D7A40"/>
    <w:rsid w:val="2AAE03FD"/>
    <w:rsid w:val="326E5886"/>
    <w:rsid w:val="338B162F"/>
    <w:rsid w:val="359C5572"/>
    <w:rsid w:val="3ADB4A53"/>
    <w:rsid w:val="3E3524C2"/>
    <w:rsid w:val="40F543FB"/>
    <w:rsid w:val="43E96659"/>
    <w:rsid w:val="47CF1DD7"/>
    <w:rsid w:val="48C45C9B"/>
    <w:rsid w:val="4AF70AF4"/>
    <w:rsid w:val="4E3B532B"/>
    <w:rsid w:val="4F0D1DB3"/>
    <w:rsid w:val="51BA06E1"/>
    <w:rsid w:val="53FB5DDE"/>
    <w:rsid w:val="55EF09AA"/>
    <w:rsid w:val="56763830"/>
    <w:rsid w:val="598167DA"/>
    <w:rsid w:val="5C3F2950"/>
    <w:rsid w:val="60E96009"/>
    <w:rsid w:val="622F54B8"/>
    <w:rsid w:val="639A2E78"/>
    <w:rsid w:val="6FEB4866"/>
    <w:rsid w:val="76FA25E2"/>
    <w:rsid w:val="76FC1D60"/>
    <w:rsid w:val="76FE2477"/>
    <w:rsid w:val="77CC136C"/>
    <w:rsid w:val="79D34E5D"/>
    <w:rsid w:val="7B377469"/>
    <w:rsid w:val="7BBC5D62"/>
    <w:rsid w:val="7CA854C5"/>
    <w:rsid w:val="7DB97F5D"/>
    <w:rsid w:val="7FA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C23C9"/>
  <w15:docId w15:val="{E776953C-AAEE-4C09-89A6-23ECA102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index 9" w:uiPriority="99" w:qFormat="1"/>
    <w:lsdException w:name="Normal Indent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Char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basedOn w:val="a"/>
    <w:qFormat/>
    <w:pPr>
      <w:jc w:val="center"/>
      <w:outlineLvl w:val="0"/>
    </w:pPr>
    <w:rPr>
      <w:rFonts w:ascii="Arial" w:hAnsi="Arial" w:cs="Arial"/>
      <w:b/>
      <w:bCs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Normal Indent"/>
    <w:next w:val="9"/>
    <w:qFormat/>
    <w:pPr>
      <w:widowControl w:val="0"/>
      <w:ind w:firstLineChars="200" w:firstLine="200"/>
      <w:jc w:val="both"/>
    </w:pPr>
    <w:rPr>
      <w:rFonts w:ascii="宋体" w:eastAsia="仿宋_GB2312" w:hAnsi="宋体" w:cs="Arial"/>
      <w:kern w:val="2"/>
      <w:sz w:val="32"/>
      <w:szCs w:val="24"/>
    </w:rPr>
  </w:style>
  <w:style w:type="paragraph" w:styleId="9">
    <w:name w:val="index 9"/>
    <w:basedOn w:val="a"/>
    <w:next w:val="a"/>
    <w:uiPriority w:val="99"/>
    <w:qFormat/>
    <w:pPr>
      <w:ind w:leftChars="1600" w:left="1600"/>
    </w:pPr>
  </w:style>
  <w:style w:type="paragraph" w:styleId="5">
    <w:name w:val="index 5"/>
    <w:basedOn w:val="a"/>
    <w:next w:val="a"/>
    <w:qFormat/>
    <w:pPr>
      <w:ind w:left="1680"/>
    </w:pPr>
    <w:rPr>
      <w:rFonts w:ascii="楷体_GB2312" w:eastAsia="楷体_GB2312"/>
      <w:sz w:val="32"/>
      <w:szCs w:val="32"/>
    </w:r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Normal (Web)"/>
    <w:basedOn w:val="a"/>
    <w:next w:val="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242021"/>
      <w:sz w:val="32"/>
      <w:szCs w:val="32"/>
    </w:rPr>
  </w:style>
  <w:style w:type="character" w:customStyle="1" w:styleId="fontstyle11">
    <w:name w:val="fontstyle11"/>
    <w:basedOn w:val="a0"/>
    <w:qFormat/>
    <w:rPr>
      <w:rFonts w:ascii="FZFSK--GBK1-0" w:eastAsia="FZFSK--GBK1-0" w:hAnsi="FZFSK--GBK1-0" w:cs="FZFSK--GBK1-0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E-BZ" w:eastAsia="E-BZ" w:hAnsi="E-BZ" w:cs="E-BZ"/>
      <w:color w:val="000000"/>
      <w:sz w:val="30"/>
      <w:szCs w:val="3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cstheme="minorBidi"/>
      <w:kern w:val="2"/>
      <w:sz w:val="21"/>
    </w:rPr>
  </w:style>
  <w:style w:type="paragraph" w:customStyle="1" w:styleId="-1">
    <w:name w:val="正文-公1"/>
    <w:next w:val="9"/>
    <w:qFormat/>
    <w:pPr>
      <w:widowControl w:val="0"/>
      <w:ind w:firstLineChars="200" w:firstLine="200"/>
      <w:jc w:val="both"/>
    </w:pPr>
    <w:rPr>
      <w:color w:val="000000"/>
      <w:kern w:val="2"/>
      <w:sz w:val="21"/>
      <w:szCs w:val="22"/>
    </w:rPr>
  </w:style>
  <w:style w:type="character" w:customStyle="1" w:styleId="NormalCharacter">
    <w:name w:val="NormalCharacter"/>
    <w:qFormat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yang wenyin</cp:lastModifiedBy>
  <cp:revision>2</cp:revision>
  <cp:lastPrinted>2022-02-21T07:25:00Z</cp:lastPrinted>
  <dcterms:created xsi:type="dcterms:W3CDTF">2022-02-21T08:29:00Z</dcterms:created>
  <dcterms:modified xsi:type="dcterms:W3CDTF">2022-02-21T08:29:00Z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