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天津市新型冠状病毒肺炎中医药防治方案</w:t>
      </w:r>
    </w:p>
    <w:p>
      <w:pPr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（试行第六版）</w:t>
      </w:r>
    </w:p>
    <w:p>
      <w:pPr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为应对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新型冠状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病毒奥密克戎病毒株，充分发挥中医药在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新型冠状病毒肺炎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疫情防控中的作用，中西医结合、中西药并用，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结合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天津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市地域特点和现时气候，国家和天津市新型冠状病毒肺炎中医药防治专家组专家共同研究，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《新型冠状病毒肺炎诊疗方案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试行第八版 修订版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基于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奥密克戎病毒株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新型冠状病毒肺炎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中医证候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特点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和中医药在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新型冠状病毒肺炎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诊治中的循证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证据，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在《天津市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新型冠状病毒肺炎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中医药防治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方案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试行第五版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的基础上，总结天津市中西医结合防治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新型冠状病毒肺炎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的经验，制定本方案，供临床参考使用。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一、密切接触者预防方案 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1.成人方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“清感饮”系列制剂：春饮、夏饮、秋饮、冬饮。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服用方法：每次1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2袋加开水200ml，浸泡十分钟，温服，徐徐咽下，每袋可多次浸泡服用。适合14岁以上人群，或遵医嘱。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2.儿童方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清感童饮。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服用方法：每次1袋加开水100ml，浸泡十分钟，温服，徐徐咽下，每袋可多次浸泡服用。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二、无症状感染者治疗方案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（一）汤剂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1.成人方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“清感饮”系列制剂：春饮、夏饮、秋饮、冬饮。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服用方法：每次2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3袋加开水300ml，浸泡十分钟，温服，徐徐咽下，每袋可多次浸泡服用。适合14岁以上人群，或遵医嘱。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2.儿童方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清感童饮。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服用方法：每次两袋加开水150ml，浸泡十分钟，温服，徐徐咽下，每袋可多次浸泡服用。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（二）中成药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1.宣肺败毒颗粒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适用人群：平素湿热较著，脘腹胀满，大便粘滞，肢体困重而舌苔较腻者。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服用方法：宣肺败毒颗粒，一次1袋（10g）、一日2次，温开水送服。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2.连花清瘟胶囊（颗粒）合用防风通圣丸。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适用人群：平素胃有积热，大便偏干或便秘者。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服用方法：连花清瘟胶囊（颗粒），一次4粒（1袋）、一日3次，温开水送服。防风通圣丸，一次1袋（10g）、一日3次，温开水送服。大便通畅时可停用防风通圣丸。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3.金花清感颗粒合用藿香正气软胶囊（滴丸、口服液、水）。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适用人群：平素胃肠不适，脘闷纳呆者。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服用方法：金花清感颗粒，一次1袋（6g）、一日2次，温开水送服。藿香正气软胶囊（滴丸、口服液、水），一日3次，温开水送服。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医师根据患者体质选用一种治疗方案，以免发生不良反应。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三、确诊病例治疗方案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（一）宣肺败毒方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适用人群：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适用于轻型、普通型患者，在重型患者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治疗中可结合患者实际情况配伍使用。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推荐处方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生麻黄6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，苦杏仁15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，生石膏30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生薏苡仁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，茅苍术10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，广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香15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，青蒿草12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，虎杖20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，马鞭草30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，干芦根30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葶苈子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，化橘红15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，生甘草10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推荐中成药：宣肺败毒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颗粒，一次1袋（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g）、一日2次，温开水送服。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（二）轻型和普通型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1.湿邪困表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临床表现：发热，咳嗽，少痰或干咳，或兼恶寒，或伴鼻塞、流涕，或咽干、咽痛，纳少，便溏。舌质红，苔薄腻或薄黄腻，脉滑或濡数。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治则治法：芳香化湿、解表祛邪。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推荐处方：藿香9g，荷叶10g，半夏12g，陈皮12g，厚朴10g，茯苓15g，苍术12g，虎杖10g，辛夷12g，苍耳子10g，桔梗12g，前胡10g，神曲10g。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临证加减：咽痒痛加银花、连翘、射干，口燥咽干加麦冬、天冬、桔梗，痰黄黏稠加黄芩、鱼腥草。</w:t>
      </w:r>
    </w:p>
    <w:p>
      <w:pPr>
        <w:pStyle w:val="6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2.瘟热犯卫 </w:t>
      </w:r>
    </w:p>
    <w:p>
      <w:pPr>
        <w:pStyle w:val="6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临床表现：咽干咽痛，鼻塞流涕，轻咳少痰，低热或未发热，或见头痛，纳食正常，大便干或正常。舌质红，苔薄或薄腻，脉浮数。</w:t>
      </w:r>
    </w:p>
    <w:p>
      <w:pPr>
        <w:pStyle w:val="6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治则治法：疏风解表，清热解毒。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推荐处方：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银花20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连翘15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青蒿15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薄荷8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superscript"/>
          <w:lang w:val="en-US" w:eastAsia="zh-CN"/>
        </w:rPr>
        <w:t>（后下）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荆芥10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射干10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玄参10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桑叶15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桔梗10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杏仁10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前胡12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芦根30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临证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加减：苔厚腻加藿香、佩兰，咳嗽重加杏仁、炙枇杷叶，腹泻加黄连、木香，咽痛重加锦灯笼、牛蒡子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临床可见风寒束表证，症见鼻塞不畅，轻咳少涕，舌淡红、苔薄白，脉浮紧，药用荆防败毒散化裁。但病程较短，易于化热，咽红、咽痛为其化热辨识要点。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3.热毒袭肺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临床表现：高热，咳嗽，痰粘咯痰不爽，口渴喜饮，咽痛，目赤。舌质红，苔黄或腻，脉滑数。 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治则治法：清热解毒，宣肺止咳。 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推荐处方：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炙麻黄6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杏仁10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生石膏30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牛蒡子10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前胡10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蝉衣6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僵蚕10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青蒿15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大黄6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superscript"/>
          <w:lang w:val="en-US" w:eastAsia="zh-CN"/>
        </w:rPr>
        <w:t>（后下）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知母10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柴胡15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法半夏10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黄芩15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夏枯草15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虎杖20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临证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加减：便秘、腹胀加瓜蒌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厚朴，持续高热加丹皮、羚羊角粉。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4.湿蕴脾胃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临床表现：低热或无发热，咳嗽少痰或干咳，脘痞，纳呆，腹泻，或伴胸闷，或少气懒言。舌暗红，苔白腻或黄腻，脉濡。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治则治法：化湿祛浊、宣畅三焦。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推荐处方：白蔻仁10g，薏苡仁15g，杏仁12g，半夏12g，陈皮12g，厚朴10g，茯苓15g，车前草15g，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Hans"/>
        </w:rPr>
        <w:t>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术15g，虎杖10g，神曲10g。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临证加减：咳嗽明显加前胡、桔梗、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紫菀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槟榔、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草果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热象重酌加石膏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、知母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，胸闷加瓜蒌皮、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苏梗，舌苔黄腻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黄连。</w:t>
      </w:r>
    </w:p>
    <w:p>
      <w:pPr>
        <w:pStyle w:val="6"/>
        <w:numPr>
          <w:ilvl w:val="0"/>
          <w:numId w:val="1"/>
        </w:numPr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重型和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Hans"/>
        </w:rPr>
        <w:t>危重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型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1.瘟热壅肺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临床表现：身热不退，咳嗽气促，动则喘息，胸闷心悸，口干舌燥，烦渴，神昏，大便干燥。舌质红，苔黄腻或黄燥，脉滑数。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治法治则：清热解毒、泻肺平喘。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推荐处方：鱼腥草20g，生麻黄6g，杏仁12g，生石膏30g，浙贝15g，葶苈子10g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superscript"/>
          <w:lang w:val="en-US" w:eastAsia="zh-CN"/>
        </w:rPr>
        <w:t>（包煎）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，桔梗20g，厚朴12g，郁金20g，黄芩15g，马鞭草15g，生牡蛎20g。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痰湿重加苏子、莱菔子，热盛加石膏、栀子，大便干加生地，大便秘结加生大黄（小量后下），伤阴明显加麦冬，大便不干瓜蒌改瓜蒌皮。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2.内闭外脱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临床表现：呼吸困难，动辄气喘或需要辅助通气，伴神昏，烦躁，汗出肢冷。舌质紫暗，苔厚腻或燥，脉浮大无根。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治则治法：益气温阳、回阳固脱。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Style w:val="4"/>
          <w:rFonts w:hint="default" w:ascii="Times New Roman" w:hAnsi="Times New Roman" w:eastAsia="仿宋_GB2312" w:cs="Times New Roman"/>
          <w:b w:val="0"/>
          <w:bCs w:val="0"/>
          <w:i w:val="0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推荐处方：人参15g，附子15g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superscript"/>
        </w:rPr>
        <w:t>（先煎）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，山茱萸15g，送服苏合香丸或安宫牛黄丸。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出现机械通气伴腹胀便秘或大便不畅者，可用生大黄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厚朴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Hans"/>
        </w:rPr>
        <w:t>15g。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出现人机不同步情况，在镇静和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骨骼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松弛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剂使用的情况下，可用生大黄10~15g和芒硝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~10g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Hans"/>
        </w:rPr>
        <w:t>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推荐中成药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：炎性介质升高时可用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血必净注射液、氧合水平低时可用生脉注射液、参麦注射液或独参汤。中药注射剂可与中药汤剂联合使用。</w:t>
      </w:r>
    </w:p>
    <w:p>
      <w:pPr>
        <w:pStyle w:val="6"/>
        <w:numPr>
          <w:ilvl w:val="0"/>
          <w:numId w:val="1"/>
        </w:numPr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重型/危重型高危人群与早期预警指标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中西医结合治疗在阻断新冠肺炎确诊患者病情由轻转重的过程中，注重观察有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重症转化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倾向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患者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一般资料、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临床表现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和实验室检查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相关前趋症状和体征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，采取针对性措施，先症而治，截断病势。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注重排查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存在重症转化倾向的患者，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密切关注高龄人群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慢性基础疾病者、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免疫功能缺陷者、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肥胖人群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晚期妊娠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围产期女性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重度吸烟者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未接种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新冠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疫苗人群等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密切关注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近期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出现高热，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呼吸急促、活动后加重，咯</w:t>
      </w:r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痰不利，大便不畅，舌质由淡转红，舌苔由白转黄、厚、腻，脉象浮数有力或滑实等症状、体征者。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密切关注出现渐进性神志淡漠，肢端湿冷，皮肤潮湿，汗出不止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腹部畏寒，或伴腹痛、稀便等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症状、体征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6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实验室检查：低氧血症进行性加重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组织氧合指标进行性恶化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乳酸进行性升高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外周血淋巴细胞计数进行性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低、炎症标记物进行性上升；胸部影像学显示肺部病变明显进展等。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文星仿宋">
    <w:altName w:val="苹方-简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4018EF"/>
    <w:multiLevelType w:val="singleLevel"/>
    <w:tmpl w:val="CC4018E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D2D64"/>
    <w:rsid w:val="63D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eastAsia="文星仿宋"/>
      <w:sz w:val="32"/>
    </w:rPr>
  </w:style>
  <w:style w:type="character" w:styleId="4">
    <w:name w:val="Emphasis"/>
    <w:basedOn w:val="3"/>
    <w:qFormat/>
    <w:uiPriority w:val="0"/>
    <w:rPr>
      <w:i/>
    </w:rPr>
  </w:style>
  <w:style w:type="paragraph" w:customStyle="1" w:styleId="6">
    <w:name w:val="Body text|1"/>
    <w:basedOn w:val="1"/>
    <w:qFormat/>
    <w:uiPriority w:val="0"/>
    <w:pPr>
      <w:spacing w:line="346" w:lineRule="auto"/>
      <w:ind w:firstLine="400"/>
    </w:pPr>
    <w:rPr>
      <w:rFonts w:ascii="宋体" w:hAnsi="宋体" w:cs="宋体"/>
      <w:color w:val="2B2A2A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2022-01-24T21:51:00Z</dcterms:created>
  <dc:creator>yuxi</dc:creator>
  <cp:lastModifiedBy>yuxi</cp:lastModifiedBy>
  <dcterms:modified xsi:type="dcterms:W3CDTF">2022-01-24T21:51:53Z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